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06" w:rsidRPr="00FB6E06" w:rsidRDefault="00FB6E06" w:rsidP="00FB6E06">
      <w:pPr>
        <w:spacing w:line="276" w:lineRule="auto"/>
        <w:rPr>
          <w:rFonts w:ascii="Roboto" w:eastAsia="Times New Roman" w:hAnsi="Roboto"/>
          <w:lang w:val="en-US"/>
        </w:rPr>
      </w:pPr>
      <w:r w:rsidRPr="00FB6E06">
        <w:rPr>
          <w:rFonts w:eastAsia="Times New Roman"/>
          <w:noProof/>
          <w:sz w:val="22"/>
          <w:szCs w:val="22"/>
        </w:rPr>
        <w:drawing>
          <wp:anchor distT="0" distB="0" distL="114300" distR="114300" simplePos="0" relativeHeight="251661312" behindDoc="0" locked="0" layoutInCell="1" allowOverlap="1" wp14:anchorId="73295575" wp14:editId="13C06FDA">
            <wp:simplePos x="0" y="0"/>
            <wp:positionH relativeFrom="column">
              <wp:posOffset>-210958</wp:posOffset>
            </wp:positionH>
            <wp:positionV relativeFrom="paragraph">
              <wp:posOffset>-81722</wp:posOffset>
            </wp:positionV>
            <wp:extent cx="1049572" cy="111394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2022 новый логотип БНС (для публикаций) рус.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9572" cy="1113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557BE">
        <w:rPr>
          <w:noProof/>
          <w:sz w:val="28"/>
          <w:szCs w:val="28"/>
        </w:rPr>
        <mc:AlternateContent>
          <mc:Choice Requires="wps">
            <w:drawing>
              <wp:anchor distT="45720" distB="45720" distL="114300" distR="114300" simplePos="0" relativeHeight="251659264" behindDoc="0" locked="0" layoutInCell="1" allowOverlap="1" wp14:anchorId="433A392A" wp14:editId="2BAFD3F4">
                <wp:simplePos x="0" y="0"/>
                <wp:positionH relativeFrom="page">
                  <wp:posOffset>0</wp:posOffset>
                </wp:positionH>
                <wp:positionV relativeFrom="page">
                  <wp:posOffset>-45719</wp:posOffset>
                </wp:positionV>
                <wp:extent cx="7556500" cy="45719"/>
                <wp:effectExtent l="0" t="0" r="6350" b="0"/>
                <wp:wrapNone/>
                <wp:docPr id="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556500" cy="45719"/>
                        </a:xfrm>
                        <a:prstGeom prst="rect">
                          <a:avLst/>
                        </a:prstGeom>
                        <a:solidFill>
                          <a:srgbClr val="F2F2F2"/>
                        </a:solidFill>
                        <a:ln>
                          <a:noFill/>
                        </a:ln>
                      </wps:spPr>
                      <wps:txbx>
                        <w:txbxContent>
                          <w:p w:rsidR="002C3843" w:rsidRDefault="002C3843">
                            <w:pPr>
                              <w:contextualSpacing/>
                              <w:rPr>
                                <w:lang w:val="en-US"/>
                              </w:rPr>
                            </w:pPr>
                          </w:p>
                        </w:txbxContent>
                      </wps:txbx>
                      <wps:bodyPr rot="0" vert="horz" wrap="square" lIns="91440" tIns="0" rIns="91440" bIns="0" anchor="t" anchorCtr="0" upright="1">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3.6pt;width:595pt;height:3.6pt;flip:y;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" fillcolor="#f2f2f2" stroked="f">
                <v:textbox inset=",0,,0">
                  <w:txbxContent>
                    <w:p w:rsidR="002C3843" w:rsidRDefault="002C3843">
                      <w:pPr>
                        <w:contextualSpacing/>
                        <w:rPr>
                          <w:lang w:val="en-US"/>
                        </w:rPr>
                      </w:pPr>
                    </w:p>
                  </w:txbxContent>
                </v:textbox>
                <w10:wrap anchorx="page" anchory="page"/>
              </v:shape>
            </w:pict>
          </mc:Fallback>
        </mc:AlternateContent>
      </w:r>
      <w:r>
        <w:rPr>
          <w:sz w:val="28"/>
          <w:szCs w:val="28"/>
          <w:lang w:val="kk-KZ"/>
        </w:rPr>
        <w:tab/>
      </w:r>
      <w:r>
        <w:rPr>
          <w:sz w:val="28"/>
          <w:szCs w:val="28"/>
          <w:lang w:val="kk-KZ"/>
        </w:rPr>
        <w:tab/>
      </w:r>
      <w:r w:rsidRPr="00FB6E06">
        <w:rPr>
          <w:rFonts w:ascii="Roboto" w:eastAsia="Times New Roman" w:hAnsi="Roboto"/>
          <w:lang w:val="en-US"/>
        </w:rPr>
        <w:t>Bureau of National statistics</w:t>
      </w:r>
    </w:p>
    <w:p w:rsidR="00FB6E06" w:rsidRPr="00FB6E06" w:rsidRDefault="00FB6E06" w:rsidP="00FB6E06">
      <w:pPr>
        <w:autoSpaceDE w:val="0"/>
        <w:autoSpaceDN w:val="0"/>
        <w:adjustRightInd w:val="0"/>
        <w:spacing w:line="276" w:lineRule="auto"/>
        <w:rPr>
          <w:rFonts w:ascii="Roboto" w:eastAsia="Times New Roman" w:hAnsi="Roboto"/>
          <w:lang w:val="en-US"/>
        </w:rPr>
      </w:pPr>
      <w:r w:rsidRPr="00FB6E06">
        <w:rPr>
          <w:rFonts w:ascii="Roboto" w:eastAsia="Times New Roman" w:hAnsi="Roboto"/>
          <w:lang w:val="en-US"/>
        </w:rPr>
        <w:tab/>
      </w:r>
      <w:r>
        <w:rPr>
          <w:rFonts w:ascii="Roboto" w:eastAsia="Times New Roman" w:hAnsi="Roboto"/>
          <w:lang w:val="kk-KZ"/>
        </w:rPr>
        <w:tab/>
      </w:r>
      <w:r w:rsidRPr="00FB6E06">
        <w:rPr>
          <w:rFonts w:ascii="Roboto" w:eastAsia="Times New Roman" w:hAnsi="Roboto"/>
          <w:lang w:val="en-US"/>
        </w:rPr>
        <w:t xml:space="preserve">Agency for Strategic </w:t>
      </w:r>
    </w:p>
    <w:p w:rsidR="00FB6E06" w:rsidRPr="00FB6E06" w:rsidRDefault="00FB6E06" w:rsidP="00FB6E06">
      <w:pPr>
        <w:autoSpaceDE w:val="0"/>
        <w:autoSpaceDN w:val="0"/>
        <w:adjustRightInd w:val="0"/>
        <w:spacing w:line="276" w:lineRule="auto"/>
        <w:rPr>
          <w:rFonts w:ascii="Roboto" w:eastAsia="Times New Roman" w:hAnsi="Roboto"/>
          <w:lang w:val="en-US"/>
        </w:rPr>
      </w:pPr>
      <w:r w:rsidRPr="00FB6E06">
        <w:rPr>
          <w:rFonts w:ascii="Roboto" w:eastAsia="Times New Roman" w:hAnsi="Roboto"/>
          <w:lang w:val="en-US"/>
        </w:rPr>
        <w:tab/>
      </w:r>
      <w:r>
        <w:rPr>
          <w:rFonts w:ascii="Roboto" w:eastAsia="Times New Roman" w:hAnsi="Roboto"/>
          <w:lang w:val="kk-KZ"/>
        </w:rPr>
        <w:tab/>
      </w:r>
      <w:proofErr w:type="gramStart"/>
      <w:r w:rsidRPr="00FB6E06">
        <w:rPr>
          <w:rFonts w:ascii="Roboto" w:eastAsia="Times New Roman" w:hAnsi="Roboto"/>
          <w:lang w:val="en-US"/>
        </w:rPr>
        <w:t>planning</w:t>
      </w:r>
      <w:proofErr w:type="gramEnd"/>
      <w:r w:rsidRPr="00FB6E06">
        <w:rPr>
          <w:rFonts w:ascii="Roboto" w:eastAsia="Times New Roman" w:hAnsi="Roboto"/>
          <w:lang w:val="en-US"/>
        </w:rPr>
        <w:t xml:space="preserve"> and reforms of the</w:t>
      </w:r>
    </w:p>
    <w:p w:rsidR="00FB6E06" w:rsidRPr="00FB6E06" w:rsidRDefault="00FB6E06" w:rsidP="00FB6E06">
      <w:pPr>
        <w:autoSpaceDE w:val="0"/>
        <w:autoSpaceDN w:val="0"/>
        <w:adjustRightInd w:val="0"/>
        <w:spacing w:line="276" w:lineRule="auto"/>
        <w:rPr>
          <w:rFonts w:eastAsia="Times New Roman"/>
          <w:sz w:val="28"/>
          <w:szCs w:val="28"/>
          <w:lang w:val="en-US"/>
        </w:rPr>
      </w:pPr>
      <w:r w:rsidRPr="00FB6E06">
        <w:rPr>
          <w:rFonts w:ascii="Roboto" w:eastAsia="Times New Roman" w:hAnsi="Roboto"/>
          <w:lang w:val="en-US"/>
        </w:rPr>
        <w:tab/>
      </w:r>
      <w:r>
        <w:rPr>
          <w:rFonts w:ascii="Roboto" w:eastAsia="Times New Roman" w:hAnsi="Roboto"/>
          <w:lang w:val="kk-KZ"/>
        </w:rPr>
        <w:tab/>
      </w:r>
      <w:r w:rsidRPr="00FB6E06">
        <w:rPr>
          <w:rFonts w:ascii="Roboto" w:eastAsia="Times New Roman" w:hAnsi="Roboto"/>
          <w:lang w:val="en-US"/>
        </w:rPr>
        <w:t>Republic of Kazakhstan</w:t>
      </w:r>
    </w:p>
    <w:p w:rsidR="002C3843" w:rsidRPr="00FB6E06" w:rsidRDefault="002C3843" w:rsidP="008C3D77">
      <w:pPr>
        <w:spacing w:line="276" w:lineRule="auto"/>
        <w:rPr>
          <w:sz w:val="28"/>
          <w:szCs w:val="28"/>
          <w:lang w:val="en-US"/>
        </w:rPr>
      </w:pPr>
    </w:p>
    <w:p w:rsidR="002C3843" w:rsidRDefault="002C3843" w:rsidP="008C3D77">
      <w:pPr>
        <w:tabs>
          <w:tab w:val="left" w:pos="709"/>
        </w:tabs>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Default="002C3843" w:rsidP="008C3D77">
      <w:pPr>
        <w:spacing w:line="276" w:lineRule="auto"/>
        <w:rPr>
          <w:sz w:val="28"/>
          <w:szCs w:val="28"/>
          <w:lang w:val="en-US"/>
        </w:rPr>
      </w:pPr>
    </w:p>
    <w:p w:rsidR="002C3843" w:rsidRPr="00FB6E06" w:rsidRDefault="001557BE" w:rsidP="008C3D77">
      <w:pPr>
        <w:spacing w:line="276" w:lineRule="auto"/>
        <w:jc w:val="center"/>
        <w:rPr>
          <w:sz w:val="60"/>
          <w:szCs w:val="60"/>
          <w:lang w:val="en-US"/>
        </w:rPr>
      </w:pPr>
      <w:r w:rsidRPr="00FB6E06">
        <w:rPr>
          <w:b/>
          <w:sz w:val="60"/>
          <w:szCs w:val="60"/>
          <w:lang w:val="en-US"/>
        </w:rPr>
        <w:t>Quality report</w:t>
      </w:r>
    </w:p>
    <w:p w:rsidR="002C3843" w:rsidRPr="00FB6E06" w:rsidRDefault="001557BE" w:rsidP="008C3D77">
      <w:pPr>
        <w:pStyle w:val="26"/>
        <w:shd w:val="clear" w:color="auto" w:fill="auto"/>
        <w:spacing w:before="0" w:line="276" w:lineRule="auto"/>
        <w:rPr>
          <w:i w:val="0"/>
          <w:color w:val="auto"/>
          <w:sz w:val="36"/>
          <w:szCs w:val="36"/>
          <w:lang w:val="en-US"/>
        </w:rPr>
      </w:pPr>
      <w:r w:rsidRPr="00FB6E06">
        <w:rPr>
          <w:color w:val="auto"/>
          <w:sz w:val="36"/>
          <w:szCs w:val="36"/>
          <w:lang w:val="en-US"/>
        </w:rPr>
        <w:tab/>
      </w:r>
      <w:r w:rsidRPr="00FB6E06">
        <w:rPr>
          <w:color w:val="auto"/>
          <w:sz w:val="36"/>
          <w:szCs w:val="36"/>
          <w:lang w:val="en-US"/>
        </w:rPr>
        <w:tab/>
      </w:r>
      <w:r w:rsidRPr="00FB6E06">
        <w:rPr>
          <w:i w:val="0"/>
          <w:color w:val="auto"/>
          <w:sz w:val="36"/>
          <w:szCs w:val="36"/>
          <w:lang w:val="en-US"/>
        </w:rPr>
        <w:t>Elements of the national wealth of the Republic of Kazakhstan for 202</w:t>
      </w:r>
      <w:r w:rsidRPr="00FB6E06">
        <w:rPr>
          <w:i w:val="0"/>
          <w:color w:val="auto"/>
          <w:sz w:val="36"/>
          <w:szCs w:val="36"/>
          <w:lang w:val="kk-KZ"/>
        </w:rPr>
        <w:t>3</w:t>
      </w:r>
      <w:r w:rsidR="008C3D77" w:rsidRPr="00FB6E06">
        <w:rPr>
          <w:i w:val="0"/>
          <w:color w:val="auto"/>
          <w:sz w:val="36"/>
          <w:szCs w:val="36"/>
          <w:lang w:val="en-US"/>
        </w:rPr>
        <w:t xml:space="preserve"> </w:t>
      </w:r>
    </w:p>
    <w:p w:rsidR="008C3D77" w:rsidRPr="00FB6E06" w:rsidRDefault="008C3D77" w:rsidP="008C3D77">
      <w:pPr>
        <w:pStyle w:val="26"/>
        <w:shd w:val="clear" w:color="auto" w:fill="auto"/>
        <w:spacing w:before="0" w:line="276" w:lineRule="auto"/>
        <w:rPr>
          <w:i w:val="0"/>
          <w:color w:val="auto"/>
          <w:sz w:val="36"/>
          <w:szCs w:val="36"/>
          <w:lang w:val="en-US"/>
        </w:rPr>
      </w:pPr>
    </w:p>
    <w:p w:rsidR="002C3843" w:rsidRDefault="002C3843" w:rsidP="008C3D77">
      <w:pPr>
        <w:pStyle w:val="26"/>
        <w:shd w:val="clear" w:color="auto" w:fill="auto"/>
        <w:tabs>
          <w:tab w:val="left" w:pos="180"/>
        </w:tabs>
        <w:spacing w:before="0" w:line="276" w:lineRule="auto"/>
        <w:jc w:val="left"/>
        <w:rPr>
          <w:i w:val="0"/>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Default="002C3843" w:rsidP="008C3D77">
      <w:pPr>
        <w:pStyle w:val="26"/>
        <w:shd w:val="clear" w:color="auto" w:fill="auto"/>
        <w:tabs>
          <w:tab w:val="left" w:pos="180"/>
        </w:tabs>
        <w:spacing w:before="0" w:line="276" w:lineRule="auto"/>
        <w:jc w:val="left"/>
        <w:rPr>
          <w:sz w:val="28"/>
          <w:szCs w:val="28"/>
          <w:lang w:val="en-US"/>
        </w:rPr>
      </w:pPr>
    </w:p>
    <w:p w:rsidR="002C3843" w:rsidRPr="00FB6E06" w:rsidRDefault="001557BE" w:rsidP="008C3D77">
      <w:pPr>
        <w:pStyle w:val="26"/>
        <w:pageBreakBefore/>
        <w:shd w:val="clear" w:color="auto" w:fill="auto"/>
        <w:tabs>
          <w:tab w:val="left" w:pos="180"/>
        </w:tabs>
        <w:spacing w:before="0" w:line="276" w:lineRule="auto"/>
        <w:rPr>
          <w:rFonts w:eastAsiaTheme="minorEastAsia"/>
          <w:b/>
          <w:i w:val="0"/>
          <w:iCs w:val="0"/>
          <w:color w:val="auto"/>
          <w:spacing w:val="0"/>
          <w:sz w:val="24"/>
          <w:szCs w:val="24"/>
          <w:lang w:val="en-US"/>
        </w:rPr>
      </w:pPr>
      <w:r w:rsidRPr="00FB6E06">
        <w:rPr>
          <w:rFonts w:eastAsiaTheme="minorEastAsia"/>
          <w:b/>
          <w:i w:val="0"/>
          <w:iCs w:val="0"/>
          <w:color w:val="auto"/>
          <w:spacing w:val="0"/>
          <w:sz w:val="24"/>
          <w:szCs w:val="24"/>
          <w:lang w:val="en-US"/>
        </w:rPr>
        <w:lastRenderedPageBreak/>
        <w:t>Content</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Contact details</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Introduction-Relevance</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Metadata Update</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Presentation of statistical information</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Unit</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Reporting period</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Legal basis</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Privacy and data protection</w:t>
      </w:r>
    </w:p>
    <w:p w:rsidR="002C3843" w:rsidRPr="00FB6E06" w:rsidRDefault="001557BE" w:rsidP="008C3D77">
      <w:pPr>
        <w:pStyle w:val="af2"/>
        <w:numPr>
          <w:ilvl w:val="1"/>
          <w:numId w:val="22"/>
        </w:numPr>
        <w:tabs>
          <w:tab w:val="left" w:pos="499"/>
        </w:tabs>
        <w:spacing w:line="276" w:lineRule="auto"/>
        <w:ind w:left="0" w:firstLine="0"/>
        <w:rPr>
          <w:lang w:val="en-US"/>
        </w:rPr>
      </w:pPr>
      <w:r w:rsidRPr="00FB6E06">
        <w:rPr>
          <w:lang w:val="en-US"/>
        </w:rPr>
        <w:t>Publication Policy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Frequency of propagation</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Distribution format, accessibility and clarity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Documentation availability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Quality control</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Relevance</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Accuracy and reliability (to be completed taking into account the type of observation)</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Timeliness and punctuality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Comparability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Consistency</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Load</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Data revision</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Statistical data processing</w:t>
      </w:r>
    </w:p>
    <w:p w:rsidR="002C3843" w:rsidRPr="00FB6E06" w:rsidRDefault="001557BE" w:rsidP="008C3D77">
      <w:pPr>
        <w:pStyle w:val="af2"/>
        <w:numPr>
          <w:ilvl w:val="1"/>
          <w:numId w:val="22"/>
        </w:numPr>
        <w:tabs>
          <w:tab w:val="left" w:pos="619"/>
        </w:tabs>
        <w:spacing w:line="276" w:lineRule="auto"/>
        <w:ind w:left="0" w:firstLine="0"/>
        <w:rPr>
          <w:lang w:val="en-US"/>
        </w:rPr>
      </w:pPr>
      <w:r w:rsidRPr="00FB6E06">
        <w:rPr>
          <w:lang w:val="en-US"/>
        </w:rPr>
        <w:t>Notes</w:t>
      </w:r>
    </w:p>
    <w:p w:rsidR="002C3843" w:rsidRPr="008C3D77" w:rsidRDefault="002C3843" w:rsidP="008C3D77">
      <w:pPr>
        <w:pStyle w:val="af2"/>
        <w:tabs>
          <w:tab w:val="left" w:pos="619"/>
        </w:tabs>
        <w:spacing w:line="276" w:lineRule="auto"/>
        <w:ind w:left="0"/>
        <w:rPr>
          <w:color w:val="FF0000"/>
          <w:sz w:val="20"/>
          <w:szCs w:val="20"/>
        </w:rPr>
      </w:pPr>
    </w:p>
    <w:p w:rsidR="002C3843" w:rsidRPr="008C3D77" w:rsidRDefault="002C3843" w:rsidP="008C3D77">
      <w:pPr>
        <w:pStyle w:val="af2"/>
        <w:tabs>
          <w:tab w:val="left" w:pos="619"/>
        </w:tabs>
        <w:spacing w:line="276" w:lineRule="auto"/>
        <w:ind w:left="0"/>
        <w:rPr>
          <w:sz w:val="20"/>
          <w:szCs w:val="20"/>
        </w:rPr>
      </w:pPr>
    </w:p>
    <w:p w:rsidR="002C3843" w:rsidRPr="008C3D77" w:rsidRDefault="002C3843" w:rsidP="008C3D77">
      <w:pPr>
        <w:pStyle w:val="af2"/>
        <w:tabs>
          <w:tab w:val="left" w:pos="619"/>
        </w:tabs>
        <w:spacing w:line="276" w:lineRule="auto"/>
        <w:ind w:left="0"/>
        <w:rPr>
          <w:sz w:val="20"/>
          <w:szCs w:val="20"/>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2C3843" w:rsidP="008C3D77">
      <w:pPr>
        <w:pStyle w:val="af2"/>
        <w:tabs>
          <w:tab w:val="left" w:pos="619"/>
        </w:tabs>
        <w:spacing w:line="276" w:lineRule="auto"/>
        <w:ind w:left="0"/>
        <w:rPr>
          <w:sz w:val="28"/>
          <w:szCs w:val="28"/>
        </w:rPr>
      </w:pPr>
    </w:p>
    <w:p w:rsidR="002C3843" w:rsidRDefault="001557BE" w:rsidP="008C3D77">
      <w:pPr>
        <w:widowControl/>
        <w:spacing w:line="276" w:lineRule="auto"/>
        <w:rPr>
          <w:sz w:val="28"/>
          <w:szCs w:val="28"/>
        </w:rPr>
      </w:pPr>
      <w:r>
        <w:rPr>
          <w:sz w:val="28"/>
          <w:szCs w:val="28"/>
        </w:rPr>
        <w:br w:type="page"/>
      </w:r>
    </w:p>
    <w:p w:rsidR="002C3843" w:rsidRPr="00FB6E06" w:rsidRDefault="001557BE" w:rsidP="008C3D77">
      <w:pPr>
        <w:pStyle w:val="af2"/>
        <w:numPr>
          <w:ilvl w:val="1"/>
          <w:numId w:val="21"/>
        </w:numPr>
        <w:tabs>
          <w:tab w:val="left" w:pos="499"/>
        </w:tabs>
        <w:spacing w:line="276" w:lineRule="auto"/>
        <w:ind w:left="0" w:right="-249" w:firstLine="0"/>
        <w:rPr>
          <w:sz w:val="28"/>
          <w:szCs w:val="28"/>
          <w:lang w:val="en-US"/>
        </w:rPr>
      </w:pPr>
      <w:r w:rsidRPr="00FB6E06">
        <w:rPr>
          <w:sz w:val="28"/>
          <w:szCs w:val="28"/>
          <w:lang w:val="en-US"/>
        </w:rPr>
        <w:lastRenderedPageBreak/>
        <w:t>Contact details</w:t>
      </w:r>
    </w:p>
    <w:p w:rsidR="002C3843" w:rsidRPr="00FB6E06" w:rsidRDefault="001557BE" w:rsidP="008C3D77">
      <w:pPr>
        <w:pStyle w:val="af2"/>
        <w:numPr>
          <w:ilvl w:val="2"/>
          <w:numId w:val="21"/>
        </w:numPr>
        <w:tabs>
          <w:tab w:val="left" w:pos="679"/>
        </w:tabs>
        <w:spacing w:line="276" w:lineRule="auto"/>
        <w:ind w:left="0" w:right="-249" w:firstLine="0"/>
        <w:rPr>
          <w:sz w:val="28"/>
          <w:szCs w:val="28"/>
          <w:lang w:val="en-US"/>
        </w:rPr>
      </w:pPr>
      <w:r w:rsidRPr="00FB6E06">
        <w:rPr>
          <w:sz w:val="28"/>
          <w:szCs w:val="28"/>
          <w:lang w:val="en-US"/>
        </w:rPr>
        <w:t>Organization</w:t>
      </w:r>
    </w:p>
    <w:p w:rsidR="002C3843" w:rsidRPr="00FB6E06" w:rsidRDefault="001557BE" w:rsidP="008C3D77">
      <w:pPr>
        <w:widowControl/>
        <w:spacing w:line="276" w:lineRule="auto"/>
        <w:ind w:right="-249"/>
        <w:jc w:val="both"/>
        <w:rPr>
          <w:rFonts w:eastAsia="Times New Roman"/>
          <w:sz w:val="28"/>
          <w:szCs w:val="28"/>
          <w:lang w:val="en-US"/>
        </w:rPr>
      </w:pPr>
      <w:r w:rsidRPr="00FB6E06">
        <w:rPr>
          <w:rFonts w:eastAsia="Times New Roman"/>
          <w:sz w:val="28"/>
          <w:szCs w:val="28"/>
          <w:lang w:val="en-US"/>
        </w:rPr>
        <w:t>Bureau of National Statistics Agency for Strategic Planning and Reforms of the Republic of Kazakhstan</w:t>
      </w:r>
    </w:p>
    <w:p w:rsidR="002C3843" w:rsidRPr="00FB6E06" w:rsidRDefault="001557BE" w:rsidP="008C3D77">
      <w:pPr>
        <w:pStyle w:val="af2"/>
        <w:numPr>
          <w:ilvl w:val="2"/>
          <w:numId w:val="21"/>
        </w:numPr>
        <w:tabs>
          <w:tab w:val="left" w:pos="679"/>
        </w:tabs>
        <w:spacing w:line="276" w:lineRule="auto"/>
        <w:ind w:left="0" w:right="-249" w:firstLine="0"/>
        <w:rPr>
          <w:rFonts w:eastAsia="Times New Roman"/>
          <w:sz w:val="28"/>
          <w:szCs w:val="28"/>
          <w:lang w:val="en-US"/>
        </w:rPr>
      </w:pPr>
      <w:r w:rsidRPr="00FB6E06">
        <w:rPr>
          <w:rFonts w:eastAsia="Times New Roman"/>
          <w:sz w:val="28"/>
          <w:szCs w:val="28"/>
          <w:lang w:val="en-US"/>
        </w:rPr>
        <w:t>Structural subdivision</w:t>
      </w:r>
    </w:p>
    <w:p w:rsidR="002C3843" w:rsidRPr="00FB6E06" w:rsidRDefault="001557BE" w:rsidP="008C3D77">
      <w:pPr>
        <w:spacing w:line="276" w:lineRule="auto"/>
        <w:ind w:right="-249"/>
        <w:rPr>
          <w:rFonts w:eastAsia="Times New Roman"/>
          <w:sz w:val="28"/>
          <w:szCs w:val="28"/>
          <w:lang w:val="en-US"/>
        </w:rPr>
      </w:pPr>
      <w:r w:rsidRPr="00FB6E06">
        <w:rPr>
          <w:rFonts w:eastAsia="Times New Roman"/>
          <w:sz w:val="28"/>
          <w:szCs w:val="28"/>
          <w:lang w:val="en-US"/>
        </w:rPr>
        <w:t xml:space="preserve">Department of National Accounts </w:t>
      </w:r>
    </w:p>
    <w:p w:rsidR="002C3843" w:rsidRPr="00FB6E06" w:rsidRDefault="001557BE" w:rsidP="008C3D77">
      <w:pPr>
        <w:pStyle w:val="af2"/>
        <w:numPr>
          <w:ilvl w:val="2"/>
          <w:numId w:val="21"/>
        </w:numPr>
        <w:tabs>
          <w:tab w:val="left" w:pos="679"/>
        </w:tabs>
        <w:spacing w:line="276" w:lineRule="auto"/>
        <w:ind w:left="0" w:right="-249" w:firstLine="0"/>
        <w:rPr>
          <w:sz w:val="28"/>
          <w:szCs w:val="28"/>
          <w:lang w:val="en-US"/>
        </w:rPr>
      </w:pPr>
      <w:r w:rsidRPr="00FB6E06">
        <w:rPr>
          <w:sz w:val="28"/>
          <w:szCs w:val="28"/>
          <w:lang w:val="en-US"/>
        </w:rPr>
        <w:t>Contact name</w:t>
      </w:r>
    </w:p>
    <w:p w:rsidR="002C3843" w:rsidRPr="00FB6E06" w:rsidRDefault="001557BE" w:rsidP="008C3D77">
      <w:pPr>
        <w:spacing w:line="276" w:lineRule="auto"/>
        <w:ind w:right="-249"/>
        <w:rPr>
          <w:rFonts w:eastAsia="Times New Roman"/>
          <w:sz w:val="28"/>
          <w:szCs w:val="28"/>
          <w:lang w:val="en-US"/>
        </w:rPr>
      </w:pPr>
      <w:proofErr w:type="spellStart"/>
      <w:r w:rsidRPr="00FB6E06">
        <w:rPr>
          <w:rFonts w:eastAsia="Times New Roman"/>
          <w:sz w:val="28"/>
          <w:szCs w:val="28"/>
          <w:lang w:val="en-US"/>
        </w:rPr>
        <w:t>Aruzhan</w:t>
      </w:r>
      <w:proofErr w:type="spellEnd"/>
      <w:r w:rsidRPr="00FB6E06">
        <w:rPr>
          <w:rFonts w:eastAsia="Times New Roman"/>
          <w:sz w:val="28"/>
          <w:szCs w:val="28"/>
          <w:lang w:val="en-US"/>
        </w:rPr>
        <w:t xml:space="preserve"> </w:t>
      </w:r>
      <w:proofErr w:type="spellStart"/>
      <w:r w:rsidRPr="00FB6E06">
        <w:rPr>
          <w:rFonts w:eastAsia="Times New Roman"/>
          <w:sz w:val="28"/>
          <w:szCs w:val="28"/>
          <w:lang w:val="en-US"/>
        </w:rPr>
        <w:t>Kaisar</w:t>
      </w:r>
      <w:proofErr w:type="spellEnd"/>
    </w:p>
    <w:p w:rsidR="002C3843" w:rsidRPr="00FB6E06" w:rsidRDefault="001557BE" w:rsidP="008C3D77">
      <w:pPr>
        <w:pStyle w:val="af2"/>
        <w:spacing w:line="276" w:lineRule="auto"/>
        <w:ind w:left="0" w:right="-249"/>
        <w:rPr>
          <w:sz w:val="28"/>
          <w:szCs w:val="28"/>
          <w:lang w:val="en-US"/>
        </w:rPr>
      </w:pPr>
      <w:r w:rsidRPr="00FB6E06">
        <w:rPr>
          <w:sz w:val="28"/>
          <w:szCs w:val="28"/>
          <w:lang w:val="en-US"/>
        </w:rPr>
        <w:t>S.1.3.1 Name of the head of the responsible structural unit</w:t>
      </w:r>
    </w:p>
    <w:p w:rsidR="002C3843" w:rsidRPr="00FB6E06" w:rsidRDefault="001557BE" w:rsidP="008C3D77">
      <w:pPr>
        <w:pStyle w:val="af2"/>
        <w:spacing w:line="276" w:lineRule="auto"/>
        <w:ind w:left="0" w:right="-249"/>
        <w:jc w:val="both"/>
        <w:rPr>
          <w:sz w:val="28"/>
          <w:szCs w:val="28"/>
          <w:lang w:val="en-US"/>
        </w:rPr>
      </w:pPr>
      <w:r w:rsidRPr="00FB6E06">
        <w:rPr>
          <w:sz w:val="28"/>
          <w:szCs w:val="28"/>
          <w:lang w:val="en-US"/>
        </w:rPr>
        <w:t xml:space="preserve">Asset </w:t>
      </w:r>
      <w:proofErr w:type="spellStart"/>
      <w:r w:rsidRPr="00FB6E06">
        <w:rPr>
          <w:sz w:val="28"/>
          <w:szCs w:val="28"/>
          <w:lang w:val="en-US"/>
        </w:rPr>
        <w:t>Nakipbekov</w:t>
      </w:r>
      <w:proofErr w:type="spellEnd"/>
    </w:p>
    <w:p w:rsidR="002C3843" w:rsidRPr="00FB6E06" w:rsidRDefault="001557BE" w:rsidP="008C3D77">
      <w:pPr>
        <w:pStyle w:val="af2"/>
        <w:numPr>
          <w:ilvl w:val="2"/>
          <w:numId w:val="20"/>
        </w:numPr>
        <w:tabs>
          <w:tab w:val="left" w:pos="679"/>
        </w:tabs>
        <w:spacing w:line="276" w:lineRule="auto"/>
        <w:ind w:left="0" w:right="-249" w:firstLine="0"/>
        <w:rPr>
          <w:sz w:val="28"/>
          <w:szCs w:val="28"/>
          <w:lang w:val="en-US"/>
        </w:rPr>
      </w:pPr>
      <w:r w:rsidRPr="00FB6E06">
        <w:rPr>
          <w:sz w:val="28"/>
          <w:szCs w:val="28"/>
          <w:lang w:val="en-US"/>
        </w:rPr>
        <w:t>Postal address of the contact person</w:t>
      </w:r>
    </w:p>
    <w:p w:rsidR="002C3843" w:rsidRPr="00FB6E06" w:rsidRDefault="001557BE" w:rsidP="008C3D77">
      <w:pPr>
        <w:pStyle w:val="af2"/>
        <w:spacing w:line="276" w:lineRule="auto"/>
        <w:ind w:left="0" w:right="-249"/>
        <w:jc w:val="both"/>
        <w:rPr>
          <w:sz w:val="28"/>
          <w:szCs w:val="28"/>
          <w:lang w:val="en-US"/>
        </w:rPr>
      </w:pPr>
      <w:r w:rsidRPr="00FB6E06">
        <w:rPr>
          <w:spacing w:val="8"/>
          <w:sz w:val="28"/>
          <w:szCs w:val="28"/>
          <w:lang w:val="en-US"/>
        </w:rPr>
        <w:t>010000</w:t>
      </w:r>
      <w:r w:rsidRPr="00FB6E06">
        <w:rPr>
          <w:sz w:val="28"/>
          <w:szCs w:val="28"/>
          <w:lang w:val="en-US"/>
        </w:rPr>
        <w:t xml:space="preserve">, Kazakhstan, Astana city, </w:t>
      </w:r>
      <w:proofErr w:type="spellStart"/>
      <w:r w:rsidRPr="00FB6E06">
        <w:rPr>
          <w:sz w:val="28"/>
          <w:szCs w:val="28"/>
          <w:lang w:val="en-US"/>
        </w:rPr>
        <w:t>Mangilik</w:t>
      </w:r>
      <w:proofErr w:type="spellEnd"/>
      <w:r w:rsidRPr="00FB6E06">
        <w:rPr>
          <w:sz w:val="28"/>
          <w:szCs w:val="28"/>
          <w:lang w:val="en-US"/>
        </w:rPr>
        <w:t xml:space="preserve"> </w:t>
      </w:r>
      <w:proofErr w:type="gramStart"/>
      <w:r w:rsidRPr="00FB6E06">
        <w:rPr>
          <w:sz w:val="28"/>
          <w:szCs w:val="28"/>
          <w:lang w:val="en-US"/>
        </w:rPr>
        <w:t>el avenue</w:t>
      </w:r>
      <w:proofErr w:type="gramEnd"/>
      <w:r w:rsidRPr="00FB6E06">
        <w:rPr>
          <w:sz w:val="28"/>
          <w:szCs w:val="28"/>
          <w:lang w:val="en-US"/>
        </w:rPr>
        <w:t xml:space="preserve">, 8, </w:t>
      </w:r>
      <w:r w:rsidR="008C3D77" w:rsidRPr="00FB6E06">
        <w:rPr>
          <w:sz w:val="28"/>
          <w:szCs w:val="28"/>
          <w:lang w:val="en-US"/>
        </w:rPr>
        <w:t>E</w:t>
      </w:r>
      <w:r w:rsidRPr="00FB6E06">
        <w:rPr>
          <w:sz w:val="28"/>
          <w:szCs w:val="28"/>
          <w:lang w:val="en-US"/>
        </w:rPr>
        <w:t>ntrance 4</w:t>
      </w:r>
    </w:p>
    <w:p w:rsidR="002C3843" w:rsidRPr="00FB6E06" w:rsidRDefault="001557BE" w:rsidP="008C3D77">
      <w:pPr>
        <w:pStyle w:val="af2"/>
        <w:numPr>
          <w:ilvl w:val="2"/>
          <w:numId w:val="20"/>
        </w:numPr>
        <w:tabs>
          <w:tab w:val="left" w:pos="679"/>
        </w:tabs>
        <w:spacing w:line="276" w:lineRule="auto"/>
        <w:ind w:left="0" w:right="-249" w:firstLine="0"/>
        <w:rPr>
          <w:sz w:val="28"/>
          <w:szCs w:val="28"/>
          <w:lang w:val="en-US"/>
        </w:rPr>
      </w:pPr>
      <w:r w:rsidRPr="00FB6E06">
        <w:rPr>
          <w:sz w:val="28"/>
          <w:szCs w:val="28"/>
          <w:lang w:val="en-US"/>
        </w:rPr>
        <w:t>Contact person email address</w:t>
      </w:r>
    </w:p>
    <w:p w:rsidR="002C3843" w:rsidRPr="00FB6E06" w:rsidRDefault="001557BE" w:rsidP="008C3D77">
      <w:pPr>
        <w:widowControl/>
        <w:spacing w:line="276" w:lineRule="auto"/>
        <w:ind w:right="-249"/>
        <w:rPr>
          <w:sz w:val="28"/>
          <w:szCs w:val="28"/>
          <w:lang w:val="en-US"/>
        </w:rPr>
      </w:pPr>
      <w:r w:rsidRPr="00FB6E06">
        <w:rPr>
          <w:rFonts w:eastAsia="Times New Roman"/>
          <w:sz w:val="28"/>
          <w:szCs w:val="28"/>
          <w:lang w:val="en-US"/>
        </w:rPr>
        <w:t>a.kaisar@aspire.gov.kz</w:t>
      </w:r>
    </w:p>
    <w:p w:rsidR="002C3843" w:rsidRPr="00FB6E06" w:rsidRDefault="001557BE" w:rsidP="008C3D77">
      <w:pPr>
        <w:pStyle w:val="af2"/>
        <w:numPr>
          <w:ilvl w:val="2"/>
          <w:numId w:val="20"/>
        </w:numPr>
        <w:tabs>
          <w:tab w:val="left" w:pos="679"/>
        </w:tabs>
        <w:spacing w:line="276" w:lineRule="auto"/>
        <w:ind w:left="0" w:right="-249" w:firstLine="0"/>
        <w:rPr>
          <w:sz w:val="28"/>
          <w:szCs w:val="28"/>
          <w:lang w:val="en-US"/>
        </w:rPr>
      </w:pPr>
      <w:r w:rsidRPr="00FB6E06">
        <w:rPr>
          <w:sz w:val="28"/>
          <w:szCs w:val="28"/>
          <w:lang w:val="en-US"/>
        </w:rPr>
        <w:t>Contact person's phone number</w:t>
      </w:r>
    </w:p>
    <w:p w:rsidR="002C3843" w:rsidRPr="00FB6E06" w:rsidRDefault="001557BE" w:rsidP="008C3D77">
      <w:pPr>
        <w:pStyle w:val="af2"/>
        <w:spacing w:line="276" w:lineRule="auto"/>
        <w:ind w:left="0" w:right="-249"/>
        <w:jc w:val="both"/>
        <w:rPr>
          <w:sz w:val="28"/>
          <w:szCs w:val="28"/>
          <w:lang w:val="en-US"/>
        </w:rPr>
      </w:pPr>
      <w:r w:rsidRPr="00FB6E06">
        <w:rPr>
          <w:sz w:val="28"/>
          <w:szCs w:val="28"/>
          <w:lang w:val="en-US"/>
        </w:rPr>
        <w:t>+7(7172)74-95-27</w:t>
      </w:r>
    </w:p>
    <w:p w:rsidR="002C3843" w:rsidRPr="00FB6E06" w:rsidRDefault="001557BE" w:rsidP="008C3D77">
      <w:pPr>
        <w:pStyle w:val="af2"/>
        <w:numPr>
          <w:ilvl w:val="1"/>
          <w:numId w:val="19"/>
        </w:numPr>
        <w:tabs>
          <w:tab w:val="left" w:pos="499"/>
        </w:tabs>
        <w:spacing w:line="276" w:lineRule="auto"/>
        <w:ind w:left="0" w:right="-249" w:firstLine="0"/>
        <w:rPr>
          <w:sz w:val="28"/>
          <w:szCs w:val="28"/>
          <w:lang w:val="en-US"/>
        </w:rPr>
      </w:pPr>
      <w:r w:rsidRPr="00FB6E06">
        <w:rPr>
          <w:sz w:val="28"/>
          <w:szCs w:val="28"/>
          <w:lang w:val="en-US"/>
        </w:rPr>
        <w:t xml:space="preserve"> Introduction-Relevance</w:t>
      </w:r>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The main objective of the System of National Accounts (SNA) is to provide a comprehensive conceptual framework and accounting structure designed for the compilation of macroeconomic data necessary for analyzing and assessing the state and performance of the national economy.</w:t>
      </w:r>
      <w:r w:rsidRPr="00FB6E06">
        <w:rPr>
          <w:sz w:val="28"/>
          <w:szCs w:val="28"/>
          <w:lang w:val="en-US"/>
        </w:rPr>
        <w:br/>
        <w:t>National wealth constitutes one of the key components of the integrated SNA system. Its formation plays an important role in ensuring the availability of statistical information required for conducting economic analysis and developing forecast assessments.</w:t>
      </w:r>
      <w:r w:rsidRPr="00FB6E06">
        <w:rPr>
          <w:sz w:val="28"/>
          <w:szCs w:val="28"/>
          <w:lang w:val="en-US"/>
        </w:rPr>
        <w:br/>
        <w:t>The primary users of national wealth data include government authorities, research institutions, as well as international organizations such as the Eurasian Economic Commission and the Interstate Statistical Committee of the Commonwealth of Independent States.</w:t>
      </w:r>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 xml:space="preserve"> Metadata Update</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Last confirmation of updated metadata</w:t>
      </w:r>
    </w:p>
    <w:p w:rsidR="002C3843" w:rsidRPr="00FB6E06" w:rsidRDefault="001557BE" w:rsidP="008C3D77">
      <w:pPr>
        <w:pStyle w:val="af2"/>
        <w:tabs>
          <w:tab w:val="left" w:pos="679"/>
        </w:tabs>
        <w:spacing w:line="276" w:lineRule="auto"/>
        <w:ind w:left="0"/>
        <w:rPr>
          <w:sz w:val="28"/>
          <w:szCs w:val="28"/>
          <w:lang w:val="en-US"/>
        </w:rPr>
      </w:pPr>
      <w:proofErr w:type="spellStart"/>
      <w:r w:rsidRPr="00FB6E06">
        <w:rPr>
          <w:rFonts w:eastAsia="Times New Roman"/>
          <w:sz w:val="28"/>
          <w:szCs w:val="28"/>
        </w:rPr>
        <w:t>Not</w:t>
      </w:r>
      <w:proofErr w:type="spellEnd"/>
      <w:r w:rsidRPr="00FB6E06">
        <w:rPr>
          <w:rFonts w:eastAsia="Times New Roman"/>
          <w:sz w:val="28"/>
          <w:szCs w:val="28"/>
        </w:rPr>
        <w:t xml:space="preserve"> </w:t>
      </w:r>
      <w:proofErr w:type="spellStart"/>
      <w:r w:rsidRPr="00FB6E06">
        <w:rPr>
          <w:rFonts w:eastAsia="Times New Roman"/>
          <w:sz w:val="28"/>
          <w:szCs w:val="28"/>
        </w:rPr>
        <w:t>applicable</w:t>
      </w:r>
      <w:proofErr w:type="spellEnd"/>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Last metadata placement</w:t>
      </w:r>
    </w:p>
    <w:p w:rsidR="002C3843" w:rsidRPr="00FB6E06" w:rsidRDefault="001557BE" w:rsidP="008C3D77">
      <w:pPr>
        <w:pStyle w:val="af2"/>
        <w:tabs>
          <w:tab w:val="left" w:pos="679"/>
        </w:tabs>
        <w:spacing w:line="276" w:lineRule="auto"/>
        <w:ind w:left="0"/>
        <w:rPr>
          <w:sz w:val="28"/>
          <w:szCs w:val="28"/>
          <w:lang w:val="en-US"/>
        </w:rPr>
      </w:pPr>
      <w:proofErr w:type="spellStart"/>
      <w:r w:rsidRPr="00FB6E06">
        <w:rPr>
          <w:rFonts w:eastAsia="Times New Roman"/>
          <w:sz w:val="28"/>
          <w:szCs w:val="28"/>
        </w:rPr>
        <w:t>Not</w:t>
      </w:r>
      <w:proofErr w:type="spellEnd"/>
      <w:r w:rsidRPr="00FB6E06">
        <w:rPr>
          <w:rFonts w:eastAsia="Times New Roman"/>
          <w:sz w:val="28"/>
          <w:szCs w:val="28"/>
        </w:rPr>
        <w:t xml:space="preserve"> </w:t>
      </w:r>
      <w:proofErr w:type="spellStart"/>
      <w:r w:rsidRPr="00FB6E06">
        <w:rPr>
          <w:rFonts w:eastAsia="Times New Roman"/>
          <w:sz w:val="28"/>
          <w:szCs w:val="28"/>
        </w:rPr>
        <w:t>applicable</w:t>
      </w:r>
      <w:proofErr w:type="spellEnd"/>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Last metadata update</w:t>
      </w:r>
    </w:p>
    <w:p w:rsidR="002C3843" w:rsidRPr="00FB6E06" w:rsidRDefault="001557BE" w:rsidP="008C3D77">
      <w:pPr>
        <w:pStyle w:val="af2"/>
        <w:tabs>
          <w:tab w:val="left" w:pos="679"/>
        </w:tabs>
        <w:spacing w:line="276" w:lineRule="auto"/>
        <w:ind w:left="0"/>
        <w:rPr>
          <w:sz w:val="28"/>
          <w:szCs w:val="28"/>
          <w:lang w:val="en-US"/>
        </w:rPr>
      </w:pPr>
      <w:proofErr w:type="spellStart"/>
      <w:r w:rsidRPr="00FB6E06">
        <w:rPr>
          <w:rFonts w:eastAsia="Times New Roman"/>
          <w:sz w:val="28"/>
          <w:szCs w:val="28"/>
        </w:rPr>
        <w:t>Not</w:t>
      </w:r>
      <w:proofErr w:type="spellEnd"/>
      <w:r w:rsidRPr="00FB6E06">
        <w:rPr>
          <w:rFonts w:eastAsia="Times New Roman"/>
          <w:sz w:val="28"/>
          <w:szCs w:val="28"/>
        </w:rPr>
        <w:t xml:space="preserve"> </w:t>
      </w:r>
      <w:proofErr w:type="spellStart"/>
      <w:r w:rsidRPr="00FB6E06">
        <w:rPr>
          <w:rFonts w:eastAsia="Times New Roman"/>
          <w:sz w:val="28"/>
          <w:szCs w:val="28"/>
        </w:rPr>
        <w:t>applicable</w:t>
      </w:r>
      <w:proofErr w:type="spellEnd"/>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Presentation of statistical information</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Data Description</w:t>
      </w:r>
    </w:p>
    <w:p w:rsidR="008D15F8" w:rsidRPr="00FB6E06" w:rsidRDefault="001557BE" w:rsidP="008C3D77">
      <w:pPr>
        <w:widowControl/>
        <w:jc w:val="both"/>
        <w:rPr>
          <w:rFonts w:eastAsia="Times New Roman"/>
          <w:sz w:val="28"/>
          <w:szCs w:val="28"/>
          <w:lang w:val="en-US"/>
        </w:rPr>
      </w:pPr>
      <w:r w:rsidRPr="00FB6E06">
        <w:rPr>
          <w:rFonts w:eastAsia="Times New Roman"/>
          <w:sz w:val="28"/>
          <w:szCs w:val="28"/>
          <w:lang w:val="en-US"/>
        </w:rPr>
        <w:t>The balance sheet of assets and liabilities is a report that records the status of assets and liabilities at a specific point in time. It serves as a tool for assessing the financial position of institutional units and sectors of the economy.</w:t>
      </w:r>
    </w:p>
    <w:p w:rsidR="008D15F8" w:rsidRPr="00FB6E06" w:rsidRDefault="001557BE" w:rsidP="008D15F8">
      <w:pPr>
        <w:widowControl/>
        <w:ind w:firstLine="720"/>
        <w:jc w:val="both"/>
        <w:rPr>
          <w:rFonts w:eastAsia="Times New Roman"/>
          <w:sz w:val="28"/>
          <w:szCs w:val="28"/>
          <w:lang w:val="en-US"/>
        </w:rPr>
      </w:pPr>
      <w:r w:rsidRPr="00FB6E06">
        <w:rPr>
          <w:rFonts w:eastAsia="Times New Roman"/>
          <w:sz w:val="28"/>
          <w:szCs w:val="28"/>
          <w:lang w:val="en-US"/>
        </w:rPr>
        <w:lastRenderedPageBreak/>
        <w:t>The resources included in the balance sheet — both financial and non-financial — reflect economic potential and are used to calculate net worth, which is the balancing item. Net worth is defined as the difference between the total value of assets and the total amount of liabilities of an institutional unit or sector.</w:t>
      </w:r>
    </w:p>
    <w:p w:rsidR="008D15F8" w:rsidRPr="00FB6E06" w:rsidRDefault="001557BE" w:rsidP="008D15F8">
      <w:pPr>
        <w:widowControl/>
        <w:ind w:firstLine="720"/>
        <w:jc w:val="both"/>
        <w:rPr>
          <w:rFonts w:eastAsia="Times New Roman"/>
          <w:sz w:val="28"/>
          <w:szCs w:val="28"/>
          <w:lang w:val="en-US"/>
        </w:rPr>
      </w:pPr>
      <w:r w:rsidRPr="00FB6E06">
        <w:rPr>
          <w:rFonts w:eastAsia="Times New Roman"/>
          <w:sz w:val="28"/>
          <w:szCs w:val="28"/>
          <w:lang w:val="en-US"/>
        </w:rPr>
        <w:t>At the macro level, the balance sheet of assets and liabilities makes it possible to determine the total value of a country’s non-financial assets and its net financial claims on the rest of the world. Together, these indicators constitute national wealth.</w:t>
      </w:r>
    </w:p>
    <w:p w:rsidR="008D15F8" w:rsidRPr="00FB6E06" w:rsidRDefault="001557BE" w:rsidP="008D15F8">
      <w:pPr>
        <w:widowControl/>
        <w:ind w:firstLine="720"/>
        <w:jc w:val="both"/>
        <w:rPr>
          <w:rFonts w:eastAsia="Times New Roman"/>
          <w:sz w:val="28"/>
          <w:szCs w:val="28"/>
          <w:lang w:val="en-US"/>
        </w:rPr>
      </w:pPr>
      <w:r w:rsidRPr="00FB6E06">
        <w:rPr>
          <w:rFonts w:eastAsia="Times New Roman"/>
          <w:sz w:val="28"/>
          <w:szCs w:val="28"/>
          <w:lang w:val="en-US"/>
        </w:rPr>
        <w:t>National wealth represents the sum of non-financial assets and net financial assets. It is compiled at the beginning and end of the reporting year, with a breakdown by sectors of the economy.</w:t>
      </w:r>
    </w:p>
    <w:p w:rsidR="002C3843" w:rsidRPr="00FB6E06" w:rsidRDefault="001557BE" w:rsidP="008D15F8">
      <w:pPr>
        <w:widowControl/>
        <w:ind w:firstLine="720"/>
        <w:jc w:val="both"/>
        <w:rPr>
          <w:rFonts w:eastAsia="Times New Roman"/>
          <w:sz w:val="28"/>
          <w:szCs w:val="28"/>
          <w:lang w:val="en-US"/>
        </w:rPr>
      </w:pPr>
      <w:r w:rsidRPr="00FB6E06">
        <w:rPr>
          <w:rFonts w:eastAsia="Times New Roman"/>
          <w:sz w:val="28"/>
          <w:szCs w:val="28"/>
          <w:lang w:val="en-US"/>
        </w:rPr>
        <w:t>The valuation of non-financial assets is based on data from government statistical surveys. The formation of information on financial assets and liabilities is ensured by the National Bank of the Republic of Kazakhstan, the State Social Insurance Fund, and the Social Health Insurance Fund.</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 xml:space="preserve"> Classification system</w:t>
      </w:r>
    </w:p>
    <w:p w:rsidR="002C3843" w:rsidRPr="00FB6E06" w:rsidRDefault="001557BE" w:rsidP="008C3D77">
      <w:pPr>
        <w:rPr>
          <w:rFonts w:eastAsia="Times New Roman"/>
          <w:sz w:val="28"/>
          <w:szCs w:val="28"/>
          <w:lang w:val="en-US"/>
        </w:rPr>
      </w:pPr>
      <w:proofErr w:type="gramStart"/>
      <w:r w:rsidRPr="00FB6E06">
        <w:rPr>
          <w:rFonts w:eastAsia="Times New Roman"/>
          <w:sz w:val="28"/>
          <w:szCs w:val="28"/>
          <w:lang w:val="en-US"/>
        </w:rPr>
        <w:t>1.Classifier</w:t>
      </w:r>
      <w:proofErr w:type="gramEnd"/>
      <w:r w:rsidRPr="00FB6E06">
        <w:rPr>
          <w:rFonts w:eastAsia="Times New Roman"/>
          <w:sz w:val="28"/>
          <w:szCs w:val="28"/>
          <w:lang w:val="en-US"/>
        </w:rPr>
        <w:t xml:space="preserve"> of economic sectors (NC RK 13-2019),</w:t>
      </w:r>
      <w:r w:rsidRPr="00FB6E06">
        <w:rPr>
          <w:rFonts w:eastAsia="Times New Roman"/>
          <w:sz w:val="28"/>
          <w:szCs w:val="28"/>
          <w:lang w:val="en-US"/>
        </w:rPr>
        <w:br/>
        <w:t>2.Classifier of non-financial assets,</w:t>
      </w:r>
      <w:r w:rsidRPr="00FB6E06">
        <w:rPr>
          <w:rFonts w:eastAsia="Times New Roman"/>
          <w:sz w:val="28"/>
          <w:szCs w:val="28"/>
          <w:lang w:val="en-US"/>
        </w:rPr>
        <w:br/>
        <w:t>3.Classifier of financial assets,</w:t>
      </w:r>
      <w:r w:rsidRPr="00FB6E06">
        <w:rPr>
          <w:rFonts w:eastAsia="Times New Roman"/>
          <w:sz w:val="28"/>
          <w:szCs w:val="28"/>
          <w:lang w:val="en-US"/>
        </w:rPr>
        <w:br/>
        <w:t>developed in accordance with the 2008 System of National Accounts (SNA).</w:t>
      </w:r>
      <w:r w:rsidRPr="00FB6E06">
        <w:rPr>
          <w:rFonts w:eastAsia="Times New Roman"/>
          <w:sz w:val="28"/>
          <w:szCs w:val="28"/>
          <w:lang w:val="en-US"/>
        </w:rPr>
        <w:br/>
        <w:t xml:space="preserve">The classifiers are available on the website of the Bureau of National Statistics of the Agency for Strategic Planning and Reforms of the Republic of Kazakhstan:  </w:t>
      </w:r>
      <w:hyperlink r:id="rId11" w:tooltip="http://www.stat.gov.kz" w:history="1">
        <w:r w:rsidRPr="00FB6E06">
          <w:rPr>
            <w:rFonts w:eastAsia="Times New Roman"/>
            <w:sz w:val="28"/>
            <w:szCs w:val="28"/>
            <w:lang w:val="en-US"/>
          </w:rPr>
          <w:t>www.stat.gov.kz</w:t>
        </w:r>
      </w:hyperlink>
      <w:r w:rsidRPr="00FB6E06">
        <w:rPr>
          <w:rFonts w:eastAsia="Times New Roman"/>
          <w:sz w:val="28"/>
          <w:szCs w:val="28"/>
          <w:lang w:val="en-US"/>
        </w:rPr>
        <w:t xml:space="preserve"> , in the “Classifiers” section.</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proofErr w:type="spellStart"/>
      <w:r w:rsidRPr="00FB6E06">
        <w:rPr>
          <w:sz w:val="28"/>
          <w:szCs w:val="28"/>
          <w:lang w:val="en-US"/>
        </w:rPr>
        <w:t>Sectoral</w:t>
      </w:r>
      <w:proofErr w:type="spellEnd"/>
      <w:r w:rsidRPr="00FB6E06">
        <w:rPr>
          <w:sz w:val="28"/>
          <w:szCs w:val="28"/>
          <w:lang w:val="en-US"/>
        </w:rPr>
        <w:t xml:space="preserve"> coverage</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Resident institutional units, which collectively constitute a country’s economy, are classified into five mutually exclusive institutional sectors in accordance with the requirements of the System of National Accounts (SNA):</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Non-financial corporations sector;</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Financial corporations sector;</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General government sector;</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Households sector;</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Non-profit institutions serving households (NPISHs) sector.</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The System of National Accounts (SNA) provides a comprehensive coverage of the national economy and ensures a standardized approach to the presentation of macroeconomic indicators. The compilation of national wealth is carried out with a breakdown by institutional sectors of the economy: non-financial corporations, financial institutions, general government, households, and non-profit institutions serving households.</w:t>
      </w:r>
    </w:p>
    <w:p w:rsidR="002C3843" w:rsidRPr="00FB6E06" w:rsidRDefault="001557BE" w:rsidP="008D15F8">
      <w:pPr>
        <w:pStyle w:val="af4"/>
        <w:spacing w:line="275" w:lineRule="auto"/>
        <w:ind w:right="-249" w:firstLine="720"/>
        <w:jc w:val="both"/>
        <w:rPr>
          <w:rFonts w:eastAsia="Times New Roman"/>
          <w:sz w:val="28"/>
          <w:szCs w:val="28"/>
          <w:lang w:val="en-US"/>
        </w:rPr>
      </w:pPr>
      <w:r w:rsidRPr="00FB6E06">
        <w:rPr>
          <w:rFonts w:eastAsia="Times New Roman"/>
          <w:sz w:val="28"/>
          <w:szCs w:val="28"/>
          <w:lang w:val="en-US"/>
        </w:rPr>
        <w:t>National wealth represents the total stock of assets held by all resident units of the economy as of the end of the year. The asset stock includes both produced and non-produced non-financial assets (such as buildings, structures, land, subsoil assets, and natural resources), as well as financial assets minus liabilities.</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 xml:space="preserve"> Statistical Concepts and Definitions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 xml:space="preserve">Financial assets cover a wide range of economic resources, including all types of financial claims, equity instruments (including shares and other forms of participation in corporate capital), as well as monetary gold in bullion form held by monetary </w:t>
      </w:r>
      <w:r w:rsidRPr="00FB6E06">
        <w:rPr>
          <w:rFonts w:eastAsia="Times New Roman"/>
          <w:sz w:val="28"/>
          <w:szCs w:val="28"/>
          <w:lang w:val="en-US"/>
        </w:rPr>
        <w:lastRenderedPageBreak/>
        <w:t>authorities.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According to the 2008 System of National Accounts (SNA), financial instruments are classified into eight main categories: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1. Monetary gold and Special Drawing Rights (SDRs);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2. Currency and deposits;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3. Debt securities;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4. Loans;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5. Equity and investment fund shares/units;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6. Insurance, pension, and standardized guarantee schemes;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7. Financial derivatives (including employee stock options);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8. Other accounts receivable/payable.</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Non-financial assets are divided into two categories: produced and non-produced assets.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Produced non-financial assets are assets that result from economic activity within the production boundary defined by the SNA. The main types of produced assets include:</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 Fixed assets (such as buildings, structures, machinery, and equipment);</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 Inventories of goods and materials held for production or resale;</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 Valuables held over time (e.g., works of art, precious metals, and similar items).</w:t>
      </w:r>
    </w:p>
    <w:p w:rsidR="002C3843" w:rsidRPr="00FB6E06" w:rsidRDefault="001557BE" w:rsidP="008C3D77">
      <w:pPr>
        <w:pStyle w:val="af2"/>
        <w:tabs>
          <w:tab w:val="left" w:pos="709"/>
        </w:tabs>
        <w:spacing w:line="276" w:lineRule="auto"/>
        <w:ind w:left="0"/>
        <w:jc w:val="both"/>
        <w:rPr>
          <w:rFonts w:eastAsia="Times New Roman"/>
          <w:sz w:val="28"/>
          <w:szCs w:val="28"/>
          <w:lang w:val="en-US"/>
        </w:rPr>
      </w:pPr>
      <w:r w:rsidRPr="00FB6E06">
        <w:rPr>
          <w:rFonts w:eastAsia="Times New Roman"/>
          <w:sz w:val="28"/>
          <w:szCs w:val="28"/>
          <w:lang w:val="en-US"/>
        </w:rPr>
        <w:t>Non-produced non-financial assets are not the result of production processes and arise in other ways. This category includes:</w:t>
      </w:r>
    </w:p>
    <w:p w:rsidR="002C3843" w:rsidRPr="00FB6E06" w:rsidRDefault="001557BE" w:rsidP="008C3D77">
      <w:pPr>
        <w:pStyle w:val="af2"/>
        <w:tabs>
          <w:tab w:val="left" w:pos="709"/>
        </w:tabs>
        <w:spacing w:line="276" w:lineRule="auto"/>
        <w:ind w:left="0"/>
        <w:rPr>
          <w:rFonts w:eastAsia="Times New Roman"/>
          <w:sz w:val="28"/>
          <w:szCs w:val="28"/>
          <w:lang w:val="en-US"/>
        </w:rPr>
      </w:pPr>
      <w:r w:rsidRPr="00FB6E06">
        <w:rPr>
          <w:rFonts w:eastAsia="Times New Roman"/>
          <w:sz w:val="28"/>
          <w:szCs w:val="28"/>
          <w:lang w:val="en-US"/>
        </w:rPr>
        <w:t>1. Natural resources (land, mineral and energy resources, water and biological resources);</w:t>
      </w:r>
    </w:p>
    <w:p w:rsidR="002C3843" w:rsidRPr="00FB6E06" w:rsidRDefault="001557BE" w:rsidP="008C3D77">
      <w:pPr>
        <w:pStyle w:val="af2"/>
        <w:tabs>
          <w:tab w:val="left" w:pos="709"/>
        </w:tabs>
        <w:spacing w:line="276" w:lineRule="auto"/>
        <w:ind w:left="0"/>
        <w:rPr>
          <w:rFonts w:eastAsia="Times New Roman"/>
          <w:sz w:val="28"/>
          <w:szCs w:val="28"/>
          <w:lang w:val="en-US"/>
        </w:rPr>
      </w:pPr>
      <w:r w:rsidRPr="00FB6E06">
        <w:rPr>
          <w:rFonts w:eastAsia="Times New Roman"/>
          <w:sz w:val="28"/>
          <w:szCs w:val="28"/>
          <w:lang w:val="en-US"/>
        </w:rPr>
        <w:t>2. Contracts, leases, and licenses that convey economic value;</w:t>
      </w:r>
    </w:p>
    <w:p w:rsidR="002C3843" w:rsidRPr="00FB6E06" w:rsidRDefault="001557BE" w:rsidP="008C3D77">
      <w:pPr>
        <w:pStyle w:val="af2"/>
        <w:tabs>
          <w:tab w:val="left" w:pos="709"/>
        </w:tabs>
        <w:spacing w:line="276" w:lineRule="auto"/>
        <w:ind w:left="0"/>
        <w:rPr>
          <w:rFonts w:eastAsia="Times New Roman"/>
          <w:sz w:val="28"/>
          <w:szCs w:val="28"/>
          <w:lang w:val="en-US"/>
        </w:rPr>
      </w:pPr>
      <w:r w:rsidRPr="00FB6E06">
        <w:rPr>
          <w:rFonts w:eastAsia="Times New Roman"/>
          <w:sz w:val="28"/>
          <w:szCs w:val="28"/>
          <w:lang w:val="en-US"/>
        </w:rPr>
        <w:t>3. Purchased goodwill and marketing assets such as brand value or trademarks.</w:t>
      </w:r>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S.4.5 Statistical object</w:t>
      </w:r>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National wealth, Non-financial assets, Net financial assets</w:t>
      </w:r>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S.4.6 Frame (principle for selecting survey units)</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Not applicable.</w:t>
      </w:r>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S.4.7 Territorial coverage</w:t>
      </w:r>
    </w:p>
    <w:p w:rsidR="002C3843" w:rsidRPr="00FB6E06" w:rsidRDefault="001557BE" w:rsidP="008C3D77">
      <w:pPr>
        <w:pStyle w:val="af2"/>
        <w:spacing w:line="276" w:lineRule="auto"/>
        <w:ind w:left="0" w:right="35"/>
        <w:jc w:val="both"/>
        <w:rPr>
          <w:sz w:val="28"/>
          <w:szCs w:val="28"/>
          <w:lang w:val="en-US"/>
        </w:rPr>
      </w:pPr>
      <w:proofErr w:type="gramStart"/>
      <w:r w:rsidRPr="00FB6E06">
        <w:rPr>
          <w:sz w:val="28"/>
          <w:szCs w:val="28"/>
          <w:lang w:val="en-US"/>
        </w:rPr>
        <w:t>The Republic of Kazakhstan as a whole.</w:t>
      </w:r>
      <w:proofErr w:type="gramEnd"/>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S.4.8 Time coverage</w:t>
      </w:r>
    </w:p>
    <w:p w:rsidR="002C3843" w:rsidRPr="00FB6E06" w:rsidRDefault="001557BE" w:rsidP="008C3D77">
      <w:pPr>
        <w:pStyle w:val="af2"/>
        <w:tabs>
          <w:tab w:val="left" w:pos="142"/>
        </w:tabs>
        <w:spacing w:line="276" w:lineRule="auto"/>
        <w:ind w:left="0"/>
        <w:rPr>
          <w:rFonts w:eastAsia="Times New Roman"/>
          <w:sz w:val="28"/>
          <w:szCs w:val="28"/>
          <w:lang w:val="en-US"/>
        </w:rPr>
      </w:pPr>
      <w:r w:rsidRPr="00FB6E06">
        <w:rPr>
          <w:rFonts w:eastAsia="Times New Roman"/>
          <w:sz w:val="28"/>
          <w:szCs w:val="28"/>
          <w:lang w:val="en-US"/>
        </w:rPr>
        <w:t xml:space="preserve">Time series </w:t>
      </w:r>
      <w:r w:rsidRPr="00FB6E06">
        <w:rPr>
          <w:rFonts w:eastAsia="Times New Roman"/>
          <w:sz w:val="28"/>
          <w:szCs w:val="28"/>
          <w:lang w:val="kk-KZ"/>
        </w:rPr>
        <w:t>since 1998 are available.</w:t>
      </w:r>
    </w:p>
    <w:p w:rsidR="002C3843" w:rsidRPr="00FB6E06" w:rsidRDefault="001557BE" w:rsidP="008C3D77">
      <w:pPr>
        <w:pStyle w:val="af2"/>
        <w:tabs>
          <w:tab w:val="left" w:pos="142"/>
        </w:tabs>
        <w:spacing w:line="276" w:lineRule="auto"/>
        <w:ind w:left="0"/>
        <w:rPr>
          <w:sz w:val="28"/>
          <w:szCs w:val="28"/>
          <w:lang w:val="en-US"/>
        </w:rPr>
      </w:pPr>
      <w:r w:rsidRPr="00FB6E06">
        <w:rPr>
          <w:sz w:val="28"/>
          <w:szCs w:val="28"/>
          <w:lang w:val="en-US"/>
        </w:rPr>
        <w:t>S.4.9 Base period</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Not applicable</w:t>
      </w:r>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Unit</w:t>
      </w:r>
    </w:p>
    <w:p w:rsidR="002C3843" w:rsidRPr="00FB6E06" w:rsidRDefault="001557BE" w:rsidP="008C3D77">
      <w:pPr>
        <w:pStyle w:val="af2"/>
        <w:spacing w:line="276" w:lineRule="auto"/>
        <w:ind w:left="0" w:right="3153"/>
        <w:jc w:val="both"/>
        <w:rPr>
          <w:sz w:val="28"/>
          <w:szCs w:val="28"/>
          <w:lang w:val="en-US"/>
        </w:rPr>
      </w:pPr>
      <w:r w:rsidRPr="00FB6E06">
        <w:rPr>
          <w:sz w:val="28"/>
          <w:szCs w:val="28"/>
          <w:lang w:val="en-US"/>
        </w:rPr>
        <w:t>Million KZT</w:t>
      </w:r>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Reporting period</w:t>
      </w:r>
    </w:p>
    <w:p w:rsidR="002C3843" w:rsidRPr="00FB6E06" w:rsidRDefault="001557BE" w:rsidP="008C3D77">
      <w:pPr>
        <w:pStyle w:val="af2"/>
        <w:spacing w:line="276" w:lineRule="auto"/>
        <w:ind w:left="0" w:right="6839"/>
        <w:jc w:val="both"/>
        <w:rPr>
          <w:sz w:val="28"/>
          <w:szCs w:val="28"/>
          <w:lang w:val="en-US"/>
        </w:rPr>
      </w:pPr>
      <w:r w:rsidRPr="00FB6E06">
        <w:rPr>
          <w:sz w:val="28"/>
          <w:szCs w:val="28"/>
          <w:lang w:val="en-US"/>
        </w:rPr>
        <w:t>Year</w:t>
      </w:r>
    </w:p>
    <w:p w:rsidR="002C3843" w:rsidRPr="00FB6E06" w:rsidRDefault="001557BE" w:rsidP="008C3D77">
      <w:pPr>
        <w:pStyle w:val="af2"/>
        <w:numPr>
          <w:ilvl w:val="1"/>
          <w:numId w:val="19"/>
        </w:numPr>
        <w:tabs>
          <w:tab w:val="left" w:pos="499"/>
        </w:tabs>
        <w:spacing w:line="276" w:lineRule="auto"/>
        <w:ind w:left="0" w:firstLine="0"/>
        <w:rPr>
          <w:sz w:val="28"/>
          <w:szCs w:val="28"/>
          <w:lang w:val="en-US"/>
        </w:rPr>
      </w:pPr>
      <w:r w:rsidRPr="00FB6E06">
        <w:rPr>
          <w:sz w:val="28"/>
          <w:szCs w:val="28"/>
          <w:lang w:val="en-US"/>
        </w:rPr>
        <w:t>Legal basis</w:t>
      </w:r>
    </w:p>
    <w:p w:rsidR="002C3843" w:rsidRPr="00FB6E06" w:rsidRDefault="001557BE" w:rsidP="008C3D77">
      <w:pPr>
        <w:pStyle w:val="af2"/>
        <w:numPr>
          <w:ilvl w:val="2"/>
          <w:numId w:val="19"/>
        </w:numPr>
        <w:tabs>
          <w:tab w:val="left" w:pos="679"/>
        </w:tabs>
        <w:spacing w:line="276" w:lineRule="auto"/>
        <w:ind w:left="0" w:firstLine="0"/>
        <w:rPr>
          <w:sz w:val="28"/>
          <w:szCs w:val="28"/>
          <w:lang w:val="en-US"/>
        </w:rPr>
      </w:pPr>
      <w:r w:rsidRPr="00FB6E06">
        <w:rPr>
          <w:sz w:val="28"/>
          <w:szCs w:val="28"/>
          <w:lang w:val="en-US"/>
        </w:rPr>
        <w:t>Legal basis</w:t>
      </w:r>
    </w:p>
    <w:p w:rsidR="002C3843" w:rsidRPr="00FB6E06" w:rsidRDefault="001557BE" w:rsidP="008C3D77">
      <w:pPr>
        <w:pStyle w:val="af2"/>
        <w:numPr>
          <w:ilvl w:val="0"/>
          <w:numId w:val="35"/>
        </w:numPr>
        <w:spacing w:line="276" w:lineRule="auto"/>
        <w:ind w:left="0" w:right="127" w:firstLine="0"/>
        <w:jc w:val="both"/>
        <w:rPr>
          <w:spacing w:val="7"/>
          <w:sz w:val="28"/>
          <w:szCs w:val="28"/>
          <w:lang w:val="en-US"/>
        </w:rPr>
      </w:pPr>
      <w:r w:rsidRPr="00FB6E06">
        <w:rPr>
          <w:spacing w:val="7"/>
          <w:sz w:val="28"/>
          <w:szCs w:val="28"/>
          <w:lang w:val="en-US"/>
        </w:rPr>
        <w:t>Law of the Republic of Kazakhstan dated March 19, 2010 No. 257-IV “On State Statistics”.</w:t>
      </w:r>
    </w:p>
    <w:p w:rsidR="008D15F8" w:rsidRPr="00FB6E06" w:rsidRDefault="001557BE" w:rsidP="008C3D77">
      <w:pPr>
        <w:widowControl/>
        <w:jc w:val="both"/>
        <w:rPr>
          <w:rFonts w:eastAsia="Times New Roman"/>
          <w:sz w:val="28"/>
          <w:szCs w:val="28"/>
          <w:lang w:val="en-US"/>
        </w:rPr>
      </w:pPr>
      <w:proofErr w:type="gramStart"/>
      <w:r w:rsidRPr="00FB6E06">
        <w:rPr>
          <w:rFonts w:eastAsia="Times New Roman"/>
          <w:sz w:val="28"/>
          <w:szCs w:val="28"/>
          <w:lang w:val="en-US"/>
        </w:rPr>
        <w:lastRenderedPageBreak/>
        <w:t>2.Rules</w:t>
      </w:r>
      <w:proofErr w:type="gramEnd"/>
      <w:r w:rsidRPr="00FB6E06">
        <w:rPr>
          <w:rFonts w:eastAsia="Times New Roman"/>
          <w:sz w:val="28"/>
          <w:szCs w:val="28"/>
          <w:lang w:val="en-US"/>
        </w:rPr>
        <w:t xml:space="preserve"> for the submission of primary statistical data by respondents, approved by the order of the Chairman of the Agency of the Republic of Kazakhstan on Statistics dated July 9, 2010, No. 173.</w:t>
      </w:r>
    </w:p>
    <w:p w:rsidR="002C3843" w:rsidRPr="00FB6E06" w:rsidRDefault="001557BE" w:rsidP="008C3D77">
      <w:pPr>
        <w:widowControl/>
        <w:jc w:val="both"/>
        <w:rPr>
          <w:rFonts w:eastAsia="Times New Roman"/>
          <w:sz w:val="28"/>
          <w:szCs w:val="28"/>
          <w:lang w:val="en-US"/>
        </w:rPr>
      </w:pPr>
      <w:r w:rsidRPr="00FB6E06">
        <w:rPr>
          <w:rFonts w:eastAsia="Times New Roman"/>
          <w:sz w:val="28"/>
          <w:szCs w:val="28"/>
          <w:lang w:val="en-US"/>
        </w:rPr>
        <w:t xml:space="preserve">3. Statistical work plan, approved in accordance with the established legislative procedure of the Republic of Kazakhstan by the order of the Head of the </w:t>
      </w:r>
      <w:r w:rsidR="00FB6E06">
        <w:rPr>
          <w:rFonts w:eastAsia="Times New Roman"/>
          <w:sz w:val="28"/>
          <w:szCs w:val="28"/>
          <w:lang w:val="en-US"/>
        </w:rPr>
        <w:t>BNS ASPR</w:t>
      </w:r>
      <w:r w:rsidRPr="00FB6E06">
        <w:rPr>
          <w:rFonts w:eastAsia="Times New Roman"/>
          <w:sz w:val="28"/>
          <w:szCs w:val="28"/>
          <w:lang w:val="en-US"/>
        </w:rPr>
        <w:t xml:space="preserve"> of the Republic of Kazakhstan.</w:t>
      </w:r>
    </w:p>
    <w:p w:rsidR="008D15F8" w:rsidRPr="00FB6E06" w:rsidRDefault="001557BE" w:rsidP="008C3D77">
      <w:pPr>
        <w:widowControl/>
        <w:jc w:val="both"/>
        <w:rPr>
          <w:rFonts w:eastAsia="Times New Roman"/>
          <w:sz w:val="28"/>
          <w:szCs w:val="28"/>
          <w:lang w:val="en-US"/>
        </w:rPr>
      </w:pPr>
      <w:r w:rsidRPr="00FB6E06">
        <w:rPr>
          <w:rFonts w:eastAsia="Times New Roman"/>
          <w:sz w:val="28"/>
          <w:szCs w:val="28"/>
          <w:lang w:val="en-US"/>
        </w:rPr>
        <w:t xml:space="preserve">4. Schedule for the dissemination of official statistical information, approved by the order of the Head of the </w:t>
      </w:r>
      <w:r w:rsidR="00FB6E06">
        <w:rPr>
          <w:rFonts w:eastAsia="Times New Roman"/>
          <w:sz w:val="28"/>
          <w:szCs w:val="28"/>
          <w:lang w:val="en-US"/>
        </w:rPr>
        <w:t>BNS ASPR</w:t>
      </w:r>
      <w:r w:rsidRPr="00FB6E06">
        <w:rPr>
          <w:rFonts w:eastAsia="Times New Roman"/>
          <w:sz w:val="28"/>
          <w:szCs w:val="28"/>
          <w:lang w:val="en-US"/>
        </w:rPr>
        <w:t xml:space="preserve"> of the Republic of Kazakhstan.</w:t>
      </w:r>
    </w:p>
    <w:p w:rsidR="002C3843" w:rsidRPr="00FB6E06" w:rsidRDefault="001557BE" w:rsidP="008C3D77">
      <w:pPr>
        <w:widowControl/>
        <w:jc w:val="both"/>
        <w:rPr>
          <w:rFonts w:eastAsia="Times New Roman"/>
          <w:sz w:val="28"/>
          <w:szCs w:val="28"/>
          <w:lang w:val="en-US"/>
        </w:rPr>
      </w:pPr>
      <w:r w:rsidRPr="00FB6E06">
        <w:rPr>
          <w:rFonts w:eastAsia="Times New Roman"/>
          <w:sz w:val="28"/>
          <w:szCs w:val="28"/>
          <w:lang w:val="en-US"/>
        </w:rPr>
        <w:t xml:space="preserve">5. Order of the Chairman of the Committee on Statistics of the Ministry of National Economy of the Republic of Kazakhstan dated November 21, 2016, No. 268 “On approval of the methodology for compiling the balance sheet of assets and liabilities.” </w:t>
      </w:r>
      <w:proofErr w:type="gramStart"/>
      <w:r w:rsidRPr="00FB6E06">
        <w:rPr>
          <w:rFonts w:eastAsia="Times New Roman"/>
          <w:sz w:val="28"/>
          <w:szCs w:val="28"/>
          <w:lang w:val="en-US"/>
        </w:rPr>
        <w:t>Registered with the Ministry of Justice of the Republic of Kazakhstan on December 21, 2016, No. 14547.</w:t>
      </w:r>
      <w:proofErr w:type="gramEnd"/>
    </w:p>
    <w:p w:rsidR="002C3843" w:rsidRPr="00FB6E06" w:rsidRDefault="001557BE" w:rsidP="008C3D77">
      <w:pPr>
        <w:pStyle w:val="af2"/>
        <w:numPr>
          <w:ilvl w:val="1"/>
          <w:numId w:val="17"/>
        </w:numPr>
        <w:spacing w:line="276" w:lineRule="auto"/>
        <w:ind w:left="0" w:right="127" w:firstLine="0"/>
        <w:jc w:val="both"/>
        <w:rPr>
          <w:spacing w:val="7"/>
          <w:sz w:val="28"/>
          <w:szCs w:val="28"/>
          <w:lang w:val="en-US"/>
        </w:rPr>
      </w:pPr>
      <w:r w:rsidRPr="00FB6E06">
        <w:rPr>
          <w:sz w:val="28"/>
          <w:szCs w:val="28"/>
          <w:lang w:val="en-US"/>
        </w:rPr>
        <w:t>Privacy and data protection.</w:t>
      </w:r>
    </w:p>
    <w:p w:rsidR="002C3843" w:rsidRPr="00FB6E06" w:rsidRDefault="001557BE" w:rsidP="008C3D77">
      <w:pPr>
        <w:pStyle w:val="af2"/>
        <w:numPr>
          <w:ilvl w:val="2"/>
          <w:numId w:val="17"/>
        </w:numPr>
        <w:tabs>
          <w:tab w:val="left" w:pos="679"/>
        </w:tabs>
        <w:spacing w:line="276" w:lineRule="auto"/>
        <w:ind w:left="0" w:firstLine="0"/>
        <w:rPr>
          <w:sz w:val="28"/>
          <w:szCs w:val="28"/>
          <w:lang w:val="en-US"/>
        </w:rPr>
      </w:pPr>
      <w:r w:rsidRPr="00FB6E06">
        <w:rPr>
          <w:sz w:val="28"/>
          <w:szCs w:val="28"/>
          <w:lang w:val="en-US"/>
        </w:rPr>
        <w:t>Privacy Policy</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1) Article 8 of the Law of the Republic of Kazakhstan dated March 19, 2010 “On State Statistics”, in accordance with which a guarantee of confidentiality and protection of the data provided by respondents is ensured.</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2) Article 28 of the Entrepreneurial Code of the Republic of Kazakhstan dated October 29, 2015 ensures the protection of information constituting a trade secret.</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3) Information Security Policy (hereinafter referred to as the Policy)</w:t>
      </w:r>
      <w:proofErr w:type="gramStart"/>
      <w:r w:rsidRPr="00FB6E06">
        <w:rPr>
          <w:rFonts w:eastAsia="Times New Roman"/>
          <w:sz w:val="28"/>
          <w:szCs w:val="28"/>
          <w:lang w:val="en-US"/>
        </w:rPr>
        <w:t>,</w:t>
      </w:r>
      <w:bookmarkStart w:id="0" w:name="page7"/>
      <w:bookmarkEnd w:id="0"/>
      <w:proofErr w:type="gramEnd"/>
      <w:r w:rsidRPr="00FB6E06">
        <w:rPr>
          <w:rFonts w:eastAsia="Times New Roman"/>
          <w:sz w:val="28"/>
          <w:szCs w:val="28"/>
          <w:lang w:val="en-US"/>
        </w:rPr>
        <w:t xml:space="preserve"> approved by Order of the Head of the BNS ASPR of the Republic of Kazakhstan dated February 10, 2021 No. 20 defines the goals, objectives, guidelines and practices in the field of ensuring information security of the Committee. The main goal of the Policy is to ensure the availability of official statistical information, the confidentiality of information stored and processed on the Bureau's computer facilities under conditions of its integrity and authenticity.</w:t>
      </w:r>
    </w:p>
    <w:p w:rsidR="002C3843" w:rsidRPr="00FB6E06" w:rsidRDefault="001557BE" w:rsidP="008C3D77">
      <w:pPr>
        <w:pStyle w:val="af2"/>
        <w:numPr>
          <w:ilvl w:val="2"/>
          <w:numId w:val="17"/>
        </w:numPr>
        <w:tabs>
          <w:tab w:val="left" w:pos="679"/>
        </w:tabs>
        <w:spacing w:line="276" w:lineRule="auto"/>
        <w:ind w:left="0" w:firstLine="0"/>
        <w:rPr>
          <w:sz w:val="28"/>
          <w:szCs w:val="28"/>
          <w:lang w:val="en-US"/>
        </w:rPr>
      </w:pPr>
      <w:r w:rsidRPr="00FB6E06">
        <w:rPr>
          <w:sz w:val="28"/>
          <w:szCs w:val="28"/>
          <w:lang w:val="en-US"/>
        </w:rPr>
        <w:t>Privacy – data handling</w:t>
      </w:r>
    </w:p>
    <w:p w:rsidR="002C3843" w:rsidRPr="00FB6E06" w:rsidRDefault="001557BE" w:rsidP="008D15F8">
      <w:pPr>
        <w:widowControl/>
        <w:jc w:val="both"/>
        <w:rPr>
          <w:rFonts w:eastAsia="Times New Roman"/>
          <w:sz w:val="28"/>
          <w:szCs w:val="28"/>
          <w:lang w:val="en-US"/>
        </w:rPr>
      </w:pPr>
      <w:r w:rsidRPr="00FB6E06">
        <w:rPr>
          <w:sz w:val="28"/>
          <w:lang w:val="en-US"/>
        </w:rPr>
        <w:t xml:space="preserve">Rules for the Provision and Use of Databases in De-Identified Form </w:t>
      </w:r>
      <w:proofErr w:type="gramStart"/>
      <w:r w:rsidRPr="00FB6E06">
        <w:rPr>
          <w:sz w:val="28"/>
          <w:lang w:val="en-US"/>
        </w:rPr>
        <w:t>for  Scientific</w:t>
      </w:r>
      <w:proofErr w:type="gramEnd"/>
      <w:r w:rsidRPr="00FB6E06">
        <w:rPr>
          <w:sz w:val="28"/>
          <w:lang w:val="en-US"/>
        </w:rPr>
        <w:t xml:space="preserve"> Purposes, approved by Order of the Chairman of the Agency of  the Republic of Kazakhstan on Statistics dated July 2, 2010 №168. Registered with the Ministry of Justice of the Republic of Kazakhstan </w:t>
      </w:r>
      <w:proofErr w:type="gramStart"/>
      <w:r w:rsidRPr="00FB6E06">
        <w:rPr>
          <w:sz w:val="28"/>
          <w:lang w:val="en-US"/>
        </w:rPr>
        <w:t>on  August</w:t>
      </w:r>
      <w:proofErr w:type="gramEnd"/>
      <w:r w:rsidRPr="00FB6E06">
        <w:rPr>
          <w:sz w:val="28"/>
          <w:lang w:val="en-US"/>
        </w:rPr>
        <w:t xml:space="preserve"> 13, 2010 № 6388.</w:t>
      </w:r>
    </w:p>
    <w:p w:rsidR="002C3843" w:rsidRPr="00FB6E06" w:rsidRDefault="001557BE" w:rsidP="008D15F8">
      <w:pPr>
        <w:pStyle w:val="af2"/>
        <w:numPr>
          <w:ilvl w:val="1"/>
          <w:numId w:val="16"/>
        </w:numPr>
        <w:tabs>
          <w:tab w:val="left" w:pos="499"/>
        </w:tabs>
        <w:spacing w:line="276" w:lineRule="auto"/>
        <w:ind w:left="0" w:firstLine="0"/>
        <w:jc w:val="both"/>
        <w:rPr>
          <w:sz w:val="28"/>
          <w:szCs w:val="28"/>
          <w:lang w:val="en-US"/>
        </w:rPr>
      </w:pPr>
      <w:r w:rsidRPr="00FB6E06">
        <w:rPr>
          <w:sz w:val="28"/>
          <w:szCs w:val="28"/>
          <w:lang w:val="en-US"/>
        </w:rPr>
        <w:t>Publication Policy</w:t>
      </w:r>
    </w:p>
    <w:p w:rsidR="002C3843" w:rsidRPr="00FB6E06" w:rsidRDefault="001557BE" w:rsidP="008D15F8">
      <w:pPr>
        <w:pStyle w:val="af2"/>
        <w:numPr>
          <w:ilvl w:val="2"/>
          <w:numId w:val="16"/>
        </w:numPr>
        <w:tabs>
          <w:tab w:val="left" w:pos="679"/>
        </w:tabs>
        <w:spacing w:line="276" w:lineRule="auto"/>
        <w:ind w:left="0" w:firstLine="0"/>
        <w:jc w:val="both"/>
        <w:rPr>
          <w:sz w:val="28"/>
          <w:szCs w:val="28"/>
          <w:lang w:val="en-US"/>
        </w:rPr>
      </w:pPr>
      <w:r w:rsidRPr="00FB6E06">
        <w:rPr>
          <w:sz w:val="28"/>
          <w:szCs w:val="28"/>
          <w:lang w:val="en-US"/>
        </w:rPr>
        <w:t>Publication calendar</w:t>
      </w:r>
    </w:p>
    <w:p w:rsidR="002C3843" w:rsidRPr="00FB6E06" w:rsidRDefault="001557BE" w:rsidP="008D15F8">
      <w:pPr>
        <w:pStyle w:val="af2"/>
        <w:tabs>
          <w:tab w:val="left" w:pos="679"/>
        </w:tabs>
        <w:spacing w:line="276" w:lineRule="auto"/>
        <w:ind w:left="0"/>
        <w:jc w:val="both"/>
        <w:rPr>
          <w:sz w:val="28"/>
          <w:szCs w:val="28"/>
          <w:lang w:val="en-US"/>
        </w:rPr>
      </w:pPr>
      <w:r w:rsidRPr="00FB6E06">
        <w:rPr>
          <w:sz w:val="28"/>
          <w:szCs w:val="28"/>
          <w:lang w:val="en-US"/>
        </w:rPr>
        <w:t xml:space="preserve">Clause  1,  Clause  2  of  Article  26  of  the  Law  of  the  Republic  of Kazakhstan "On State Statistics" dated March 19, 2010 No. 257.The statistical work plan and the Schedule for the dissemination of official  statistical  information  are  posted  on  the  website  of  the </w:t>
      </w:r>
      <w:r w:rsidR="00FB6E06">
        <w:rPr>
          <w:sz w:val="28"/>
          <w:szCs w:val="28"/>
          <w:lang w:val="en-US"/>
        </w:rPr>
        <w:t>BNS ASPR</w:t>
      </w:r>
      <w:r w:rsidRPr="00FB6E06">
        <w:rPr>
          <w:sz w:val="28"/>
          <w:szCs w:val="28"/>
          <w:lang w:val="en-US"/>
        </w:rPr>
        <w:t xml:space="preserve"> of the Republic of Kazakhstan www.stat.gov.kz in the section "Home" / "Basic documents"</w:t>
      </w:r>
    </w:p>
    <w:p w:rsidR="002C3843" w:rsidRPr="00FB6E06" w:rsidRDefault="001557BE" w:rsidP="008D15F8">
      <w:pPr>
        <w:pStyle w:val="af2"/>
        <w:numPr>
          <w:ilvl w:val="2"/>
          <w:numId w:val="16"/>
        </w:numPr>
        <w:tabs>
          <w:tab w:val="left" w:pos="679"/>
        </w:tabs>
        <w:spacing w:line="276" w:lineRule="auto"/>
        <w:ind w:left="0" w:firstLine="0"/>
        <w:jc w:val="both"/>
        <w:rPr>
          <w:sz w:val="28"/>
          <w:szCs w:val="28"/>
          <w:lang w:val="en-US"/>
        </w:rPr>
      </w:pPr>
      <w:r w:rsidRPr="00FB6E06">
        <w:rPr>
          <w:sz w:val="28"/>
          <w:szCs w:val="28"/>
          <w:lang w:val="en-US"/>
        </w:rPr>
        <w:t xml:space="preserve">Access to the </w:t>
      </w:r>
      <w:proofErr w:type="spellStart"/>
      <w:r w:rsidRPr="00FB6E06">
        <w:rPr>
          <w:rFonts w:eastAsia="Times New Roman"/>
          <w:sz w:val="28"/>
          <w:szCs w:val="28"/>
        </w:rPr>
        <w:t>Schedule</w:t>
      </w:r>
      <w:proofErr w:type="spellEnd"/>
    </w:p>
    <w:p w:rsidR="002C3843" w:rsidRPr="00FB6E06" w:rsidRDefault="001557BE" w:rsidP="008D15F8">
      <w:pPr>
        <w:pStyle w:val="af4"/>
        <w:spacing w:line="275" w:lineRule="auto"/>
        <w:ind w:right="-249"/>
        <w:jc w:val="both"/>
        <w:rPr>
          <w:rFonts w:eastAsia="Times New Roman"/>
          <w:sz w:val="28"/>
          <w:szCs w:val="28"/>
          <w:lang w:val="en-US"/>
        </w:rPr>
      </w:pPr>
      <w:r w:rsidRPr="00FB6E06">
        <w:rPr>
          <w:rFonts w:eastAsia="Times New Roman"/>
          <w:sz w:val="28"/>
          <w:szCs w:val="28"/>
          <w:lang w:val="en-US"/>
        </w:rPr>
        <w:t xml:space="preserve">The dissemination schedule of official statistical information is freely available in the </w:t>
      </w:r>
      <w:proofErr w:type="spellStart"/>
      <w:r w:rsidRPr="00FB6E06">
        <w:rPr>
          <w:rFonts w:eastAsia="Times New Roman"/>
          <w:sz w:val="28"/>
          <w:szCs w:val="28"/>
          <w:lang w:val="en-US"/>
        </w:rPr>
        <w:t>Adilet</w:t>
      </w:r>
      <w:proofErr w:type="spellEnd"/>
      <w:r w:rsidRPr="00FB6E06">
        <w:rPr>
          <w:rFonts w:eastAsia="Times New Roman"/>
          <w:sz w:val="28"/>
          <w:szCs w:val="28"/>
          <w:lang w:val="en-US"/>
        </w:rPr>
        <w:t xml:space="preserve"> </w:t>
      </w:r>
      <w:proofErr w:type="gramStart"/>
      <w:r w:rsidRPr="00FB6E06">
        <w:rPr>
          <w:rFonts w:eastAsia="Times New Roman"/>
          <w:sz w:val="28"/>
          <w:szCs w:val="28"/>
          <w:lang w:val="en-US"/>
        </w:rPr>
        <w:t>IPS .</w:t>
      </w:r>
      <w:proofErr w:type="gramEnd"/>
    </w:p>
    <w:p w:rsidR="002C3843" w:rsidRPr="00FB6E06" w:rsidRDefault="001557BE" w:rsidP="008C3D77">
      <w:pPr>
        <w:pStyle w:val="af2"/>
        <w:numPr>
          <w:ilvl w:val="2"/>
          <w:numId w:val="16"/>
        </w:numPr>
        <w:tabs>
          <w:tab w:val="left" w:pos="679"/>
        </w:tabs>
        <w:spacing w:line="276" w:lineRule="auto"/>
        <w:ind w:left="0" w:firstLine="0"/>
        <w:jc w:val="both"/>
        <w:rPr>
          <w:sz w:val="28"/>
          <w:szCs w:val="28"/>
          <w:lang w:val="en-US"/>
        </w:rPr>
      </w:pPr>
      <w:r w:rsidRPr="00FB6E06">
        <w:rPr>
          <w:sz w:val="28"/>
          <w:szCs w:val="28"/>
          <w:lang w:val="en-US"/>
        </w:rPr>
        <w:t>User access</w:t>
      </w:r>
    </w:p>
    <w:p w:rsidR="002C3843" w:rsidRPr="00FB6E06" w:rsidRDefault="001557BE" w:rsidP="008C3D77">
      <w:pPr>
        <w:pStyle w:val="af4"/>
        <w:spacing w:line="275" w:lineRule="auto"/>
        <w:ind w:right="-249"/>
        <w:jc w:val="both"/>
        <w:rPr>
          <w:rFonts w:eastAsia="Times New Roman"/>
          <w:sz w:val="28"/>
          <w:szCs w:val="28"/>
          <w:lang w:val="en-US"/>
        </w:rPr>
      </w:pPr>
      <w:proofErr w:type="gramStart"/>
      <w:r w:rsidRPr="00FB6E06">
        <w:rPr>
          <w:rFonts w:eastAsia="Times New Roman"/>
          <w:sz w:val="28"/>
          <w:szCs w:val="28"/>
          <w:lang w:val="en-US"/>
        </w:rPr>
        <w:t xml:space="preserve">Website of the </w:t>
      </w:r>
      <w:r w:rsidR="00FB6E06">
        <w:rPr>
          <w:rFonts w:eastAsia="Times New Roman"/>
          <w:sz w:val="28"/>
          <w:szCs w:val="28"/>
          <w:lang w:val="en-US"/>
        </w:rPr>
        <w:t>BNS ASPR</w:t>
      </w:r>
      <w:r w:rsidRPr="00FB6E06">
        <w:rPr>
          <w:rFonts w:eastAsia="Times New Roman"/>
          <w:sz w:val="28"/>
          <w:szCs w:val="28"/>
          <w:lang w:val="en-US"/>
        </w:rPr>
        <w:t xml:space="preserve"> Planning and Reforms of the Republic of Kazakhstan </w:t>
      </w:r>
      <w:r w:rsidRPr="00FB6E06">
        <w:rPr>
          <w:rFonts w:eastAsia="Times New Roman"/>
          <w:sz w:val="28"/>
          <w:szCs w:val="28"/>
          <w:lang w:val="en-US"/>
        </w:rPr>
        <w:lastRenderedPageBreak/>
        <w:t>www.stat.gov.kz.</w:t>
      </w:r>
      <w:proofErr w:type="gramEnd"/>
      <w:r w:rsidRPr="00FB6E06">
        <w:rPr>
          <w:rFonts w:eastAsia="Times New Roman"/>
          <w:sz w:val="28"/>
          <w:szCs w:val="28"/>
          <w:lang w:val="en-US"/>
        </w:rPr>
        <w:t xml:space="preserve"> </w:t>
      </w:r>
      <w:proofErr w:type="gramStart"/>
      <w:r w:rsidRPr="00FB6E06">
        <w:rPr>
          <w:rFonts w:eastAsia="Times New Roman"/>
          <w:sz w:val="28"/>
          <w:szCs w:val="28"/>
          <w:lang w:val="en-US"/>
        </w:rPr>
        <w:t>Home/ Economy/ National accounts.</w:t>
      </w:r>
      <w:proofErr w:type="gramEnd"/>
    </w:p>
    <w:p w:rsidR="002C3843" w:rsidRPr="00FB6E06" w:rsidRDefault="001557BE" w:rsidP="008C3D77">
      <w:pPr>
        <w:pStyle w:val="af2"/>
        <w:numPr>
          <w:ilvl w:val="1"/>
          <w:numId w:val="15"/>
        </w:numPr>
        <w:tabs>
          <w:tab w:val="left" w:pos="619"/>
        </w:tabs>
        <w:spacing w:line="276" w:lineRule="auto"/>
        <w:ind w:left="0" w:firstLine="0"/>
        <w:jc w:val="both"/>
        <w:rPr>
          <w:spacing w:val="6"/>
          <w:sz w:val="28"/>
          <w:szCs w:val="28"/>
          <w:lang w:val="en-US"/>
        </w:rPr>
      </w:pPr>
      <w:r w:rsidRPr="00FB6E06">
        <w:rPr>
          <w:sz w:val="28"/>
          <w:szCs w:val="28"/>
          <w:lang w:val="en-US"/>
        </w:rPr>
        <w:t>Frequency of propagation</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Year</w:t>
      </w:r>
    </w:p>
    <w:p w:rsidR="002C3843" w:rsidRPr="00FB6E06" w:rsidRDefault="001557BE" w:rsidP="008C3D77">
      <w:pPr>
        <w:pStyle w:val="af2"/>
        <w:numPr>
          <w:ilvl w:val="1"/>
          <w:numId w:val="15"/>
        </w:numPr>
        <w:tabs>
          <w:tab w:val="left" w:pos="619"/>
        </w:tabs>
        <w:spacing w:line="276" w:lineRule="auto"/>
        <w:ind w:left="0" w:firstLine="0"/>
        <w:jc w:val="both"/>
        <w:rPr>
          <w:sz w:val="28"/>
          <w:szCs w:val="28"/>
          <w:lang w:val="en-US"/>
        </w:rPr>
      </w:pPr>
      <w:r w:rsidRPr="00FB6E06">
        <w:rPr>
          <w:sz w:val="28"/>
          <w:szCs w:val="28"/>
          <w:lang w:val="en-US"/>
        </w:rPr>
        <w:t>Distribution format, accessibility and clarity</w:t>
      </w:r>
    </w:p>
    <w:p w:rsidR="002C3843" w:rsidRPr="00FB6E06" w:rsidRDefault="001557BE" w:rsidP="008C3D77">
      <w:pPr>
        <w:pStyle w:val="af2"/>
        <w:numPr>
          <w:ilvl w:val="2"/>
          <w:numId w:val="15"/>
        </w:numPr>
        <w:tabs>
          <w:tab w:val="left" w:pos="799"/>
        </w:tabs>
        <w:spacing w:line="276" w:lineRule="auto"/>
        <w:ind w:left="0" w:firstLine="0"/>
        <w:jc w:val="both"/>
        <w:rPr>
          <w:sz w:val="28"/>
          <w:szCs w:val="28"/>
          <w:lang w:val="en-US"/>
        </w:rPr>
      </w:pPr>
      <w:r w:rsidRPr="00FB6E06">
        <w:rPr>
          <w:sz w:val="28"/>
          <w:szCs w:val="28"/>
          <w:lang w:val="en-US"/>
        </w:rPr>
        <w:t>News publications</w:t>
      </w:r>
    </w:p>
    <w:p w:rsidR="002C3843" w:rsidRPr="00FB6E06" w:rsidRDefault="001557BE" w:rsidP="008C3D77">
      <w:pPr>
        <w:pStyle w:val="af2"/>
        <w:numPr>
          <w:ilvl w:val="2"/>
          <w:numId w:val="15"/>
        </w:numPr>
        <w:tabs>
          <w:tab w:val="left" w:pos="799"/>
        </w:tabs>
        <w:spacing w:line="276" w:lineRule="auto"/>
        <w:ind w:left="0" w:firstLine="0"/>
        <w:jc w:val="both"/>
        <w:rPr>
          <w:sz w:val="28"/>
          <w:szCs w:val="28"/>
          <w:lang w:val="en-US"/>
        </w:rPr>
      </w:pPr>
      <w:r w:rsidRPr="00FB6E06">
        <w:rPr>
          <w:sz w:val="28"/>
          <w:szCs w:val="28"/>
          <w:lang w:val="en-US"/>
        </w:rPr>
        <w:t>Publications</w:t>
      </w:r>
    </w:p>
    <w:p w:rsidR="002C3843" w:rsidRPr="00FB6E06" w:rsidRDefault="001557BE" w:rsidP="008C3D77">
      <w:pPr>
        <w:pStyle w:val="af2"/>
        <w:tabs>
          <w:tab w:val="left" w:pos="799"/>
        </w:tabs>
        <w:spacing w:line="276" w:lineRule="auto"/>
        <w:ind w:left="0"/>
        <w:jc w:val="both"/>
        <w:rPr>
          <w:sz w:val="28"/>
          <w:szCs w:val="28"/>
          <w:lang w:val="en-US"/>
        </w:rPr>
      </w:pPr>
      <w:r w:rsidRPr="00FB6E06">
        <w:rPr>
          <w:sz w:val="28"/>
          <w:szCs w:val="28"/>
          <w:lang w:val="en-US"/>
        </w:rPr>
        <w:t>In the Republic of Kazakhstan, the regular publication titled “Elements of the National Wealth of the Republic of Kazakhstan” is currently carried out. The compilation of national wealth is based on the accounting of both financial and non-financial assets.</w:t>
      </w:r>
    </w:p>
    <w:p w:rsidR="002C3843" w:rsidRPr="00FB6E06" w:rsidRDefault="001557BE" w:rsidP="008C3D77">
      <w:pPr>
        <w:pStyle w:val="af2"/>
        <w:tabs>
          <w:tab w:val="left" w:pos="799"/>
        </w:tabs>
        <w:spacing w:line="276" w:lineRule="auto"/>
        <w:ind w:left="0"/>
        <w:jc w:val="both"/>
        <w:rPr>
          <w:sz w:val="28"/>
          <w:szCs w:val="28"/>
          <w:lang w:val="en-US"/>
        </w:rPr>
      </w:pPr>
      <w:r w:rsidRPr="00FB6E06">
        <w:rPr>
          <w:sz w:val="28"/>
          <w:szCs w:val="28"/>
          <w:lang w:val="en-US"/>
        </w:rPr>
        <w:t>Within the framework of compiling national wealth indicators for the Republic of Kazakhstan, data are published based on both the initial (historical) cost and the balance sheet value of assets. This provides the ability to analyze both the valuation of accumulated assets at the time of their acquisition or creation, as well as their current residual value, taking into account depreciation and wear and tear.</w:t>
      </w:r>
    </w:p>
    <w:p w:rsidR="002C3843" w:rsidRPr="00FB6E06" w:rsidRDefault="001557BE" w:rsidP="008C3D77">
      <w:pPr>
        <w:pStyle w:val="af2"/>
        <w:tabs>
          <w:tab w:val="left" w:pos="799"/>
        </w:tabs>
        <w:spacing w:line="276" w:lineRule="auto"/>
        <w:ind w:left="0"/>
        <w:jc w:val="both"/>
        <w:rPr>
          <w:sz w:val="28"/>
          <w:szCs w:val="28"/>
          <w:lang w:val="en-US"/>
        </w:rPr>
      </w:pPr>
      <w:r w:rsidRPr="00FB6E06">
        <w:rPr>
          <w:sz w:val="28"/>
          <w:szCs w:val="28"/>
          <w:lang w:val="en-US"/>
        </w:rPr>
        <w:t>In addition, publicly available information includes the dynamics of changes in the composition and structure of national wealth by asset types, institutional sectors, and years, enabling comparative and retrospective analysis.</w:t>
      </w:r>
    </w:p>
    <w:p w:rsidR="002C3843" w:rsidRPr="008C3D77" w:rsidRDefault="001557BE" w:rsidP="008D15F8">
      <w:pPr>
        <w:pStyle w:val="af2"/>
        <w:tabs>
          <w:tab w:val="left" w:pos="799"/>
        </w:tabs>
        <w:spacing w:line="276" w:lineRule="auto"/>
        <w:ind w:left="0"/>
        <w:jc w:val="center"/>
        <w:rPr>
          <w:color w:val="FF0000"/>
          <w:sz w:val="28"/>
          <w:szCs w:val="28"/>
        </w:rPr>
      </w:pPr>
      <w:r w:rsidRPr="008C3D77">
        <w:rPr>
          <w:noProof/>
          <w:color w:val="FF0000"/>
        </w:rPr>
        <mc:AlternateContent>
          <mc:Choice Requires="wpg">
            <w:drawing>
              <wp:inline distT="0" distB="0" distL="0" distR="0" wp14:anchorId="3053CF64" wp14:editId="1A4800C7">
                <wp:extent cx="5422900" cy="2117716"/>
                <wp:effectExtent l="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5422900" cy="2117716"/>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27.0pt;height:166.7pt;" stroked="f">
                <v:path textboxrect="0,0,0,0"/>
                <v:imagedata r:id="rId15" o:title=""/>
              </v:shape>
            </w:pict>
          </mc:Fallback>
        </mc:AlternateContent>
      </w:r>
    </w:p>
    <w:p w:rsidR="002C3843" w:rsidRPr="00FB6E06" w:rsidRDefault="001557BE" w:rsidP="008C3D77">
      <w:pPr>
        <w:numPr>
          <w:ilvl w:val="2"/>
          <w:numId w:val="15"/>
        </w:numPr>
        <w:spacing w:line="276" w:lineRule="auto"/>
        <w:ind w:firstLine="0"/>
        <w:rPr>
          <w:sz w:val="28"/>
          <w:szCs w:val="28"/>
          <w:lang w:val="en-US"/>
        </w:rPr>
      </w:pPr>
      <w:r w:rsidRPr="00FB6E06">
        <w:rPr>
          <w:sz w:val="28"/>
          <w:szCs w:val="28"/>
          <w:lang w:val="en-US"/>
        </w:rPr>
        <w:t>Online data bases</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xml:space="preserve">Information and analytical system </w:t>
      </w:r>
      <w:proofErr w:type="gramStart"/>
      <w:r w:rsidRPr="00FB6E06">
        <w:rPr>
          <w:rFonts w:eastAsia="Times New Roman"/>
          <w:sz w:val="28"/>
          <w:szCs w:val="28"/>
          <w:lang w:val="en-US"/>
        </w:rPr>
        <w:t xml:space="preserve">“ </w:t>
      </w:r>
      <w:proofErr w:type="spellStart"/>
      <w:r w:rsidRPr="00FB6E06">
        <w:rPr>
          <w:rFonts w:eastAsia="Times New Roman"/>
          <w:sz w:val="28"/>
          <w:szCs w:val="28"/>
          <w:lang w:val="en-US"/>
        </w:rPr>
        <w:t>Taldau</w:t>
      </w:r>
      <w:proofErr w:type="spellEnd"/>
      <w:proofErr w:type="gramEnd"/>
      <w:r w:rsidRPr="00FB6E06">
        <w:rPr>
          <w:rFonts w:eastAsia="Times New Roman"/>
          <w:sz w:val="28"/>
          <w:szCs w:val="28"/>
          <w:lang w:val="en-US"/>
        </w:rPr>
        <w:t xml:space="preserve"> ” / System of national accounts / Accumulation accounts</w:t>
      </w:r>
    </w:p>
    <w:p w:rsidR="002C3843" w:rsidRPr="00FB6E06" w:rsidRDefault="001557BE" w:rsidP="008C3D77">
      <w:pPr>
        <w:pStyle w:val="12"/>
        <w:shd w:val="clear" w:color="auto" w:fill="auto"/>
        <w:tabs>
          <w:tab w:val="left" w:pos="505"/>
        </w:tabs>
        <w:spacing w:line="276" w:lineRule="auto"/>
        <w:rPr>
          <w:sz w:val="28"/>
          <w:szCs w:val="28"/>
          <w:highlight w:val="yellow"/>
          <w:lang w:val="en-US"/>
        </w:rPr>
      </w:pPr>
      <w:proofErr w:type="gramStart"/>
      <w:r w:rsidRPr="00FB6E06">
        <w:rPr>
          <w:sz w:val="28"/>
          <w:szCs w:val="28"/>
          <w:lang w:val="en-US"/>
        </w:rPr>
        <w:t>S.11.3.1 AC1.</w:t>
      </w:r>
      <w:proofErr w:type="gramEnd"/>
      <w:r w:rsidRPr="00FB6E06">
        <w:rPr>
          <w:sz w:val="28"/>
          <w:szCs w:val="28"/>
          <w:lang w:val="en-US"/>
        </w:rPr>
        <w:t xml:space="preserve"> </w:t>
      </w:r>
      <w:r w:rsidRPr="00FB6E06">
        <w:rPr>
          <w:rFonts w:eastAsiaTheme="minorEastAsia"/>
          <w:sz w:val="28"/>
          <w:szCs w:val="28"/>
          <w:lang w:val="en-US"/>
        </w:rPr>
        <w:t>Data tables-</w:t>
      </w:r>
      <w:r w:rsidRPr="00FB6E06">
        <w:rPr>
          <w:sz w:val="28"/>
          <w:szCs w:val="28"/>
          <w:lang w:val="en-US"/>
        </w:rPr>
        <w:t xml:space="preserve"> consultations</w:t>
      </w:r>
    </w:p>
    <w:p w:rsidR="002C3843" w:rsidRPr="00FB6E06" w:rsidRDefault="001557BE" w:rsidP="008C3D77">
      <w:pPr>
        <w:pStyle w:val="af2"/>
        <w:spacing w:line="276" w:lineRule="auto"/>
        <w:ind w:left="0" w:right="113"/>
        <w:jc w:val="both"/>
        <w:rPr>
          <w:sz w:val="28"/>
          <w:szCs w:val="28"/>
          <w:lang w:val="en-US"/>
        </w:rPr>
      </w:pPr>
      <w:r w:rsidRPr="00FB6E06">
        <w:rPr>
          <w:sz w:val="28"/>
          <w:szCs w:val="28"/>
          <w:lang w:val="en-US"/>
        </w:rPr>
        <w:t>Not implemented.</w:t>
      </w:r>
    </w:p>
    <w:p w:rsidR="002C3843" w:rsidRPr="00FB6E06" w:rsidRDefault="001557BE" w:rsidP="008C3D77">
      <w:pPr>
        <w:pStyle w:val="af2"/>
        <w:spacing w:line="276" w:lineRule="auto"/>
        <w:ind w:left="0" w:right="113"/>
        <w:rPr>
          <w:sz w:val="28"/>
          <w:szCs w:val="28"/>
          <w:lang w:val="en-US"/>
        </w:rPr>
      </w:pPr>
      <w:r w:rsidRPr="00FB6E06">
        <w:rPr>
          <w:sz w:val="28"/>
          <w:szCs w:val="28"/>
          <w:lang w:val="en-US"/>
        </w:rPr>
        <w:t xml:space="preserve">S.11.5 Access to </w:t>
      </w:r>
      <w:proofErr w:type="spellStart"/>
      <w:r w:rsidRPr="00FB6E06">
        <w:rPr>
          <w:sz w:val="28"/>
          <w:szCs w:val="28"/>
          <w:lang w:val="en-US"/>
        </w:rPr>
        <w:t>microdata</w:t>
      </w:r>
      <w:proofErr w:type="spellEnd"/>
    </w:p>
    <w:p w:rsidR="002C3843" w:rsidRPr="00FB6E06" w:rsidRDefault="001557BE" w:rsidP="008C3D77">
      <w:pPr>
        <w:pStyle w:val="af4"/>
        <w:spacing w:line="275" w:lineRule="auto"/>
        <w:ind w:right="-249"/>
        <w:jc w:val="both"/>
        <w:rPr>
          <w:rFonts w:eastAsia="Times New Roman"/>
          <w:sz w:val="28"/>
          <w:szCs w:val="28"/>
          <w:lang w:val="en-US"/>
        </w:rPr>
      </w:pPr>
      <w:r w:rsidRPr="00FB6E06">
        <w:rPr>
          <w:sz w:val="28"/>
          <w:lang w:val="en-US"/>
        </w:rPr>
        <w:t xml:space="preserve">Rules for the Provision and Use of Databases in De-Identified Form </w:t>
      </w:r>
      <w:proofErr w:type="gramStart"/>
      <w:r w:rsidRPr="00FB6E06">
        <w:rPr>
          <w:sz w:val="28"/>
          <w:lang w:val="en-US"/>
        </w:rPr>
        <w:t>for  Scientific</w:t>
      </w:r>
      <w:proofErr w:type="gramEnd"/>
      <w:r w:rsidRPr="00FB6E06">
        <w:rPr>
          <w:sz w:val="28"/>
          <w:lang w:val="en-US"/>
        </w:rPr>
        <w:t xml:space="preserve"> Purposes, approved by Order of the Chairman of the Agency of  the Republic of Kazakhstan on Statistics dated July 2, 2010 № 168.  Registered with the Ministry of Justice of the Republic of Kazakhstan </w:t>
      </w:r>
      <w:proofErr w:type="gramStart"/>
      <w:r w:rsidRPr="00FB6E06">
        <w:rPr>
          <w:sz w:val="28"/>
          <w:lang w:val="en-US"/>
        </w:rPr>
        <w:t>on  August</w:t>
      </w:r>
      <w:proofErr w:type="gramEnd"/>
      <w:r w:rsidRPr="00FB6E06">
        <w:rPr>
          <w:sz w:val="28"/>
          <w:lang w:val="en-US"/>
        </w:rPr>
        <w:t xml:space="preserve"> 13, 2010 № 6388.</w:t>
      </w:r>
    </w:p>
    <w:p w:rsidR="002C3843" w:rsidRPr="00FB6E06" w:rsidRDefault="001557BE" w:rsidP="008C3D77">
      <w:pPr>
        <w:spacing w:line="276" w:lineRule="auto"/>
        <w:rPr>
          <w:sz w:val="28"/>
          <w:szCs w:val="28"/>
          <w:lang w:val="kk-KZ"/>
        </w:rPr>
      </w:pPr>
      <w:r w:rsidRPr="00FB6E06">
        <w:rPr>
          <w:sz w:val="28"/>
          <w:szCs w:val="28"/>
          <w:lang w:val="en-US"/>
        </w:rPr>
        <w:t>S.11.5 Other</w:t>
      </w:r>
    </w:p>
    <w:p w:rsidR="002C3843" w:rsidRPr="00FB6E06" w:rsidRDefault="001557BE" w:rsidP="008C3D77">
      <w:pPr>
        <w:spacing w:line="276" w:lineRule="auto"/>
        <w:rPr>
          <w:sz w:val="28"/>
          <w:szCs w:val="28"/>
          <w:lang w:val="kk-KZ"/>
        </w:rPr>
      </w:pPr>
      <w:r w:rsidRPr="00FB6E06">
        <w:rPr>
          <w:sz w:val="28"/>
          <w:szCs w:val="28"/>
          <w:lang w:val="en-US"/>
        </w:rPr>
        <w:t>Not applicable.</w:t>
      </w:r>
    </w:p>
    <w:p w:rsidR="002C3843" w:rsidRPr="00FB6E06" w:rsidRDefault="001557BE" w:rsidP="008C3D77">
      <w:pPr>
        <w:spacing w:line="276" w:lineRule="auto"/>
        <w:rPr>
          <w:sz w:val="28"/>
          <w:szCs w:val="28"/>
          <w:lang w:val="en-US"/>
        </w:rPr>
      </w:pPr>
      <w:proofErr w:type="gramStart"/>
      <w:r w:rsidRPr="00FB6E06">
        <w:rPr>
          <w:sz w:val="28"/>
          <w:szCs w:val="28"/>
          <w:lang w:val="en-US"/>
        </w:rPr>
        <w:t>S.11.5.1 AC2.</w:t>
      </w:r>
      <w:proofErr w:type="gramEnd"/>
      <w:r w:rsidRPr="00FB6E06">
        <w:rPr>
          <w:sz w:val="28"/>
          <w:szCs w:val="28"/>
          <w:lang w:val="en-US"/>
        </w:rPr>
        <w:t xml:space="preserve"> Metadata-consultations</w:t>
      </w:r>
    </w:p>
    <w:p w:rsidR="002C3843" w:rsidRPr="00FB6E06" w:rsidRDefault="001557BE" w:rsidP="008C3D77">
      <w:pPr>
        <w:spacing w:line="276" w:lineRule="auto"/>
        <w:rPr>
          <w:sz w:val="28"/>
          <w:szCs w:val="28"/>
          <w:lang w:val="en-US"/>
        </w:rPr>
      </w:pPr>
      <w:r w:rsidRPr="00FB6E06">
        <w:rPr>
          <w:sz w:val="28"/>
          <w:szCs w:val="28"/>
          <w:lang w:val="en-US"/>
        </w:rPr>
        <w:t>Not implemented.</w:t>
      </w:r>
    </w:p>
    <w:p w:rsidR="002C3843" w:rsidRPr="00FB6E06" w:rsidRDefault="001557BE" w:rsidP="008C3D77">
      <w:pPr>
        <w:pStyle w:val="af2"/>
        <w:numPr>
          <w:ilvl w:val="1"/>
          <w:numId w:val="12"/>
        </w:numPr>
        <w:tabs>
          <w:tab w:val="left" w:pos="619"/>
        </w:tabs>
        <w:spacing w:line="276" w:lineRule="auto"/>
        <w:ind w:left="0" w:firstLine="0"/>
        <w:rPr>
          <w:sz w:val="28"/>
          <w:szCs w:val="28"/>
          <w:lang w:val="en-US"/>
        </w:rPr>
      </w:pPr>
      <w:r w:rsidRPr="00FB6E06">
        <w:rPr>
          <w:sz w:val="28"/>
          <w:szCs w:val="28"/>
          <w:lang w:val="en-US"/>
        </w:rPr>
        <w:t>Documentation availability</w:t>
      </w:r>
    </w:p>
    <w:p w:rsidR="002C3843" w:rsidRPr="00FB6E06" w:rsidRDefault="001557BE" w:rsidP="008C3D77">
      <w:pPr>
        <w:pStyle w:val="af2"/>
        <w:numPr>
          <w:ilvl w:val="2"/>
          <w:numId w:val="12"/>
        </w:numPr>
        <w:tabs>
          <w:tab w:val="left" w:pos="799"/>
        </w:tabs>
        <w:spacing w:line="276" w:lineRule="auto"/>
        <w:ind w:left="0" w:firstLine="0"/>
        <w:rPr>
          <w:sz w:val="28"/>
          <w:szCs w:val="28"/>
          <w:lang w:val="en-US"/>
        </w:rPr>
      </w:pPr>
      <w:r w:rsidRPr="00FB6E06">
        <w:rPr>
          <w:sz w:val="28"/>
          <w:szCs w:val="28"/>
          <w:lang w:val="en-US"/>
        </w:rPr>
        <w:lastRenderedPageBreak/>
        <w:t>Methodology documentation</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System of National Accounts, 2008 (published by the Commission of the European Communities EUROSTAT, International Monetary Fund (IMF), Organization for Economic Cooperation and Development (OECD ), United Nations (UN), World Bank)</w:t>
      </w:r>
    </w:p>
    <w:p w:rsidR="002C3843" w:rsidRPr="00FB6E06" w:rsidRDefault="00E36BDB" w:rsidP="008C3D77">
      <w:pPr>
        <w:pStyle w:val="af4"/>
        <w:tabs>
          <w:tab w:val="left" w:pos="1438"/>
        </w:tabs>
        <w:spacing w:line="276" w:lineRule="auto"/>
        <w:jc w:val="both"/>
        <w:rPr>
          <w:rFonts w:eastAsia="Times New Roman"/>
          <w:sz w:val="28"/>
          <w:szCs w:val="28"/>
          <w:lang w:val="en-US"/>
        </w:rPr>
      </w:pPr>
      <w:hyperlink r:id="rId16" w:tooltip="https://unstats.un.org/unsd/nationalaccount/docs/SNA2008Russian.pdf" w:history="1">
        <w:r w:rsidR="001557BE" w:rsidRPr="00FB6E06">
          <w:rPr>
            <w:rStyle w:val="af7"/>
            <w:rFonts w:eastAsia="Times New Roman"/>
            <w:color w:val="auto"/>
            <w:sz w:val="28"/>
            <w:szCs w:val="28"/>
            <w:lang w:val="en-US"/>
          </w:rPr>
          <w:t xml:space="preserve">https://unstats.un.org/unsd/nationalaccount/docs/SNA2008Russian.pdf </w:t>
        </w:r>
      </w:hyperlink>
      <w:r w:rsidR="001557BE" w:rsidRPr="00FB6E06">
        <w:rPr>
          <w:rFonts w:eastAsia="Times New Roman"/>
          <w:sz w:val="28"/>
          <w:szCs w:val="28"/>
          <w:lang w:val="en-US"/>
        </w:rPr>
        <w:t>.</w:t>
      </w:r>
    </w:p>
    <w:p w:rsidR="002C3843" w:rsidRPr="00FB6E06" w:rsidRDefault="001557BE" w:rsidP="008C3D77">
      <w:pPr>
        <w:spacing w:line="276" w:lineRule="auto"/>
        <w:rPr>
          <w:sz w:val="28"/>
          <w:szCs w:val="28"/>
          <w:lang w:val="en-US"/>
        </w:rPr>
      </w:pPr>
      <w:r w:rsidRPr="00FB6E06">
        <w:rPr>
          <w:sz w:val="28"/>
          <w:szCs w:val="28"/>
          <w:lang w:val="en-US"/>
        </w:rPr>
        <w:t>S.12.2 Quality documentation</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1)“Methodology for assessing the quality of official statistical information”, approved by order of the Chairman of the Committee on Statistics of the Ministry of National Economy of the Republic of Kazakhstan dated May 23, 2018 No. 63. Registered with the Ministry of Justice of the Republic of Kazakhstan on June 7, 2018</w:t>
      </w:r>
    </w:p>
    <w:p w:rsidR="002C3843" w:rsidRPr="00FB6E06" w:rsidRDefault="001557BE" w:rsidP="008C3D77">
      <w:pPr>
        <w:pStyle w:val="af4"/>
        <w:spacing w:line="275" w:lineRule="auto"/>
        <w:ind w:right="-249"/>
        <w:jc w:val="both"/>
        <w:rPr>
          <w:rFonts w:eastAsia="Times New Roman"/>
          <w:sz w:val="28"/>
          <w:szCs w:val="28"/>
          <w:lang w:val="en-US"/>
        </w:rPr>
      </w:pPr>
      <w:proofErr w:type="gramStart"/>
      <w:r w:rsidRPr="00FB6E06">
        <w:rPr>
          <w:rFonts w:eastAsia="Times New Roman"/>
          <w:sz w:val="28"/>
          <w:szCs w:val="28"/>
          <w:lang w:val="en-US"/>
        </w:rPr>
        <w:t>No. 17011.</w:t>
      </w:r>
      <w:proofErr w:type="gramEnd"/>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2) Standard methodology for describing the process of producing statistical information by government bodies, approved by Order of the Chairman of the Committee on Statistics of the Ministry of National Economy of the Republic of Kazakhstan dated March 30, 2015 No. 53.</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 xml:space="preserve">3) Rules for assessing the quality of administrative data, approved by Order of the Head of the </w:t>
      </w:r>
      <w:r w:rsidR="00FB6E06">
        <w:rPr>
          <w:rFonts w:eastAsia="Times New Roman"/>
          <w:sz w:val="28"/>
          <w:szCs w:val="28"/>
          <w:lang w:val="en-US"/>
        </w:rPr>
        <w:t>BNS ASRP</w:t>
      </w:r>
      <w:r w:rsidRPr="00FB6E06">
        <w:rPr>
          <w:rFonts w:eastAsia="Times New Roman"/>
          <w:sz w:val="28"/>
          <w:szCs w:val="28"/>
          <w:lang w:val="en-US"/>
        </w:rPr>
        <w:t xml:space="preserve"> of the Republic of Kazakhstan dated March 19, 2024, No. 2. Rules for assessing the quality of administrative data, approved by Order of the Head of the </w:t>
      </w:r>
      <w:r w:rsidR="00FB6E06">
        <w:rPr>
          <w:rFonts w:eastAsia="Times New Roman"/>
          <w:sz w:val="28"/>
          <w:szCs w:val="28"/>
          <w:lang w:val="en-US"/>
        </w:rPr>
        <w:t>BNS ASPR</w:t>
      </w:r>
      <w:r w:rsidRPr="00FB6E06">
        <w:rPr>
          <w:rFonts w:eastAsia="Times New Roman"/>
          <w:sz w:val="28"/>
          <w:szCs w:val="28"/>
          <w:lang w:val="en-US"/>
        </w:rPr>
        <w:t xml:space="preserve"> of the Republic of Kazakhstan dated March 19, 2024 No. 2.</w:t>
      </w:r>
    </w:p>
    <w:p w:rsidR="002C3843" w:rsidRPr="00FB6E06" w:rsidRDefault="001557BE" w:rsidP="008C3D77">
      <w:pPr>
        <w:spacing w:line="276" w:lineRule="auto"/>
        <w:rPr>
          <w:sz w:val="28"/>
          <w:szCs w:val="28"/>
          <w:lang w:val="en-US"/>
        </w:rPr>
      </w:pPr>
      <w:r w:rsidRPr="00FB6E06">
        <w:rPr>
          <w:sz w:val="28"/>
          <w:szCs w:val="28"/>
          <w:lang w:val="en-US"/>
        </w:rPr>
        <w:t>S.13 Quality management</w:t>
      </w:r>
    </w:p>
    <w:p w:rsidR="002C3843" w:rsidRPr="00FB6E06" w:rsidRDefault="001557BE" w:rsidP="008C3D77">
      <w:pPr>
        <w:spacing w:line="276" w:lineRule="auto"/>
        <w:rPr>
          <w:sz w:val="28"/>
          <w:szCs w:val="28"/>
          <w:lang w:val="en-US"/>
        </w:rPr>
      </w:pPr>
      <w:r w:rsidRPr="00FB6E06">
        <w:rPr>
          <w:sz w:val="28"/>
          <w:szCs w:val="28"/>
          <w:lang w:val="en-US"/>
        </w:rPr>
        <w:t>S.13.1 Quality Assurance</w:t>
      </w:r>
    </w:p>
    <w:p w:rsidR="002C3843" w:rsidRPr="00FB6E06" w:rsidRDefault="001557BE" w:rsidP="008C3D77">
      <w:pPr>
        <w:tabs>
          <w:tab w:val="left" w:pos="8931"/>
        </w:tabs>
        <w:spacing w:line="296" w:lineRule="auto"/>
        <w:ind w:right="200"/>
        <w:jc w:val="both"/>
        <w:rPr>
          <w:sz w:val="28"/>
          <w:szCs w:val="28"/>
          <w:lang w:val="en-US"/>
        </w:rPr>
      </w:pPr>
      <w:r w:rsidRPr="00FB6E06">
        <w:rPr>
          <w:rFonts w:eastAsia="Times New Roman"/>
          <w:sz w:val="28"/>
          <w:szCs w:val="28"/>
          <w:lang w:val="en-US"/>
        </w:rPr>
        <w:t>The quality and reliability of national accounts statistics data is supported by generally accepted procedures:</w:t>
      </w:r>
    </w:p>
    <w:p w:rsidR="002C3843" w:rsidRPr="00FB6E06" w:rsidRDefault="002C3843" w:rsidP="008C3D77">
      <w:pPr>
        <w:tabs>
          <w:tab w:val="left" w:pos="8931"/>
        </w:tabs>
        <w:spacing w:line="2" w:lineRule="exact"/>
        <w:jc w:val="both"/>
        <w:rPr>
          <w:sz w:val="28"/>
          <w:szCs w:val="28"/>
          <w:lang w:val="en-US"/>
        </w:rPr>
      </w:pPr>
    </w:p>
    <w:p w:rsidR="002C3843" w:rsidRPr="00FB6E06" w:rsidRDefault="001557BE" w:rsidP="008C3D77">
      <w:pPr>
        <w:widowControl/>
        <w:numPr>
          <w:ilvl w:val="0"/>
          <w:numId w:val="38"/>
        </w:numPr>
        <w:tabs>
          <w:tab w:val="left" w:pos="1130"/>
          <w:tab w:val="left" w:pos="8931"/>
        </w:tabs>
        <w:spacing w:line="275" w:lineRule="auto"/>
        <w:ind w:right="200"/>
        <w:jc w:val="both"/>
        <w:rPr>
          <w:rFonts w:eastAsia="Times New Roman"/>
          <w:sz w:val="28"/>
          <w:szCs w:val="28"/>
          <w:lang w:val="en-US"/>
        </w:rPr>
      </w:pPr>
      <w:r w:rsidRPr="00FB6E06">
        <w:rPr>
          <w:rFonts w:eastAsia="Times New Roman"/>
          <w:sz w:val="28"/>
          <w:szCs w:val="28"/>
          <w:lang w:val="en-US"/>
        </w:rPr>
        <w:t>compilation in accordance with international recommendations to ensure comparability of data in accordance with international standards;</w:t>
      </w:r>
    </w:p>
    <w:p w:rsidR="002C3843" w:rsidRPr="00FB6E06" w:rsidRDefault="002C3843" w:rsidP="008C3D77">
      <w:pPr>
        <w:tabs>
          <w:tab w:val="left" w:pos="8931"/>
        </w:tabs>
        <w:spacing w:line="2" w:lineRule="exact"/>
        <w:jc w:val="both"/>
        <w:rPr>
          <w:rFonts w:eastAsia="Times New Roman"/>
          <w:sz w:val="28"/>
          <w:szCs w:val="28"/>
          <w:lang w:val="en-US"/>
        </w:rPr>
      </w:pPr>
    </w:p>
    <w:p w:rsidR="002C3843" w:rsidRPr="00FB6E06" w:rsidRDefault="001557BE" w:rsidP="008C3D77">
      <w:pPr>
        <w:widowControl/>
        <w:numPr>
          <w:ilvl w:val="0"/>
          <w:numId w:val="38"/>
        </w:numPr>
        <w:tabs>
          <w:tab w:val="left" w:pos="1130"/>
          <w:tab w:val="left" w:pos="8931"/>
        </w:tabs>
        <w:spacing w:line="275" w:lineRule="auto"/>
        <w:ind w:right="200"/>
        <w:jc w:val="both"/>
        <w:rPr>
          <w:rFonts w:eastAsia="Times New Roman"/>
          <w:sz w:val="28"/>
          <w:szCs w:val="28"/>
          <w:lang w:val="en-US"/>
        </w:rPr>
      </w:pPr>
      <w:r w:rsidRPr="00FB6E06">
        <w:rPr>
          <w:rFonts w:eastAsia="Times New Roman"/>
          <w:sz w:val="28"/>
          <w:szCs w:val="28"/>
          <w:lang w:val="en-US"/>
        </w:rPr>
        <w:t>use of standard statistical classifications of goods, products, services;</w:t>
      </w:r>
    </w:p>
    <w:p w:rsidR="002C3843" w:rsidRPr="00FB6E06" w:rsidRDefault="001557BE" w:rsidP="008C3D77">
      <w:pPr>
        <w:widowControl/>
        <w:numPr>
          <w:ilvl w:val="0"/>
          <w:numId w:val="38"/>
        </w:numPr>
        <w:tabs>
          <w:tab w:val="left" w:pos="1064"/>
          <w:tab w:val="left" w:pos="8931"/>
        </w:tabs>
        <w:spacing w:line="275" w:lineRule="auto"/>
        <w:ind w:right="800"/>
        <w:jc w:val="both"/>
        <w:rPr>
          <w:rFonts w:eastAsia="Times New Roman"/>
          <w:sz w:val="28"/>
          <w:szCs w:val="28"/>
          <w:lang w:val="en-US"/>
        </w:rPr>
      </w:pPr>
      <w:proofErr w:type="gramStart"/>
      <w:r w:rsidRPr="00FB6E06">
        <w:rPr>
          <w:rFonts w:eastAsia="Times New Roman"/>
          <w:sz w:val="28"/>
          <w:szCs w:val="28"/>
          <w:lang w:val="en-US"/>
        </w:rPr>
        <w:t>a</w:t>
      </w:r>
      <w:proofErr w:type="gramEnd"/>
      <w:r w:rsidRPr="00FB6E06">
        <w:rPr>
          <w:rFonts w:eastAsia="Times New Roman"/>
          <w:sz w:val="28"/>
          <w:szCs w:val="28"/>
          <w:lang w:val="en-US"/>
        </w:rPr>
        <w:t xml:space="preserve"> comparative analysis of statistical data is carried out.</w:t>
      </w:r>
    </w:p>
    <w:p w:rsidR="002C3843" w:rsidRPr="00FB6E06" w:rsidRDefault="001557BE" w:rsidP="008C3D77">
      <w:pPr>
        <w:spacing w:line="276" w:lineRule="auto"/>
        <w:jc w:val="both"/>
        <w:rPr>
          <w:sz w:val="28"/>
          <w:szCs w:val="28"/>
          <w:lang w:val="en-US"/>
        </w:rPr>
      </w:pPr>
      <w:r w:rsidRPr="00FB6E06">
        <w:rPr>
          <w:sz w:val="28"/>
          <w:szCs w:val="28"/>
          <w:lang w:val="en-US"/>
        </w:rPr>
        <w:t>S.13.2 Quality assessment</w:t>
      </w:r>
    </w:p>
    <w:p w:rsidR="002C3843" w:rsidRPr="00FB6E06" w:rsidRDefault="001557BE" w:rsidP="008C3D77">
      <w:pPr>
        <w:spacing w:line="276" w:lineRule="auto"/>
        <w:jc w:val="both"/>
        <w:rPr>
          <w:sz w:val="28"/>
          <w:szCs w:val="28"/>
          <w:lang w:val="en-US"/>
        </w:rPr>
      </w:pPr>
      <w:r w:rsidRPr="00FB6E06">
        <w:rPr>
          <w:sz w:val="28"/>
          <w:szCs w:val="28"/>
          <w:lang w:val="en-US"/>
        </w:rPr>
        <w:t>In the Republic of Kazakhstan, regular publication of “Elements of the National Wealth of the Republic of Kazakhstan” is currently conducted. The compilation of national wealth is based on the accounting of both financial and non-financial assets.</w:t>
      </w:r>
    </w:p>
    <w:p w:rsidR="002C3843" w:rsidRPr="00FB6E06" w:rsidRDefault="001557BE" w:rsidP="008D15F8">
      <w:pPr>
        <w:spacing w:line="276" w:lineRule="auto"/>
        <w:ind w:firstLine="720"/>
        <w:jc w:val="both"/>
        <w:rPr>
          <w:sz w:val="28"/>
          <w:szCs w:val="28"/>
          <w:lang w:val="en-US"/>
        </w:rPr>
      </w:pPr>
      <w:r w:rsidRPr="00FB6E06">
        <w:rPr>
          <w:sz w:val="28"/>
          <w:szCs w:val="28"/>
          <w:lang w:val="en-US"/>
        </w:rPr>
        <w:t>The largest share in the structure of national wealth is made up of produced non-financial assets, particularly fixed capital. At the same time, the contribution of non-produced assets remains insignificant. This is due to the fact that natural resources are currently not included in the composition of national wealth.</w:t>
      </w:r>
    </w:p>
    <w:p w:rsidR="002C3843" w:rsidRPr="00FB6E06" w:rsidRDefault="001557BE" w:rsidP="008D15F8">
      <w:pPr>
        <w:spacing w:line="276" w:lineRule="auto"/>
        <w:ind w:firstLine="720"/>
        <w:jc w:val="both"/>
        <w:rPr>
          <w:sz w:val="28"/>
          <w:szCs w:val="28"/>
          <w:lang w:val="en-US"/>
        </w:rPr>
      </w:pPr>
      <w:r w:rsidRPr="00FB6E06">
        <w:rPr>
          <w:sz w:val="28"/>
          <w:szCs w:val="28"/>
          <w:lang w:val="en-US"/>
        </w:rPr>
        <w:t>Within the framework of implementing the System of Environmental-Economic Accounting (SEEA), in September 2024, the Bureau began publishing separate accounts of natural assets (mainly in physical terms). After obtaining data in monetary terms, it is planned to include them in the national wealth and the balance sheet of assets and liabilities as well.</w:t>
      </w:r>
    </w:p>
    <w:p w:rsidR="002C3843" w:rsidRPr="00FB6E06" w:rsidRDefault="001557BE" w:rsidP="008D15F8">
      <w:pPr>
        <w:spacing w:line="276" w:lineRule="auto"/>
        <w:ind w:firstLine="720"/>
        <w:jc w:val="both"/>
        <w:rPr>
          <w:sz w:val="28"/>
          <w:szCs w:val="28"/>
          <w:lang w:val="en-US"/>
        </w:rPr>
      </w:pPr>
      <w:r w:rsidRPr="00FB6E06">
        <w:rPr>
          <w:sz w:val="28"/>
          <w:szCs w:val="28"/>
          <w:lang w:val="en-US"/>
        </w:rPr>
        <w:t xml:space="preserve">Moreover, since 2023, the Bureau has started to include estimates for previously missing categories of produced non-financial assets, such as weapon </w:t>
      </w:r>
      <w:r w:rsidRPr="00FB6E06">
        <w:rPr>
          <w:sz w:val="28"/>
          <w:szCs w:val="28"/>
          <w:lang w:val="en-US"/>
        </w:rPr>
        <w:lastRenderedPageBreak/>
        <w:t>systems, research and development, and valuables.</w:t>
      </w:r>
    </w:p>
    <w:p w:rsidR="002C3843" w:rsidRPr="00FB6E06" w:rsidRDefault="001557BE" w:rsidP="008D15F8">
      <w:pPr>
        <w:spacing w:line="276" w:lineRule="auto"/>
        <w:ind w:firstLine="720"/>
        <w:jc w:val="both"/>
        <w:rPr>
          <w:sz w:val="28"/>
          <w:szCs w:val="28"/>
          <w:lang w:val="en-US"/>
        </w:rPr>
      </w:pPr>
      <w:r w:rsidRPr="00FB6E06">
        <w:rPr>
          <w:sz w:val="28"/>
          <w:szCs w:val="28"/>
          <w:lang w:val="en-US"/>
        </w:rPr>
        <w:t>After completing all ongoing work and incorporating other types of assets, the Bureau plans to publish the final version of the Balance Sheet of Assets and Liabilities of the Republic of Kazakhstan.</w:t>
      </w:r>
    </w:p>
    <w:p w:rsidR="002C3843" w:rsidRPr="00FB6E06" w:rsidRDefault="001557BE" w:rsidP="008C3D77">
      <w:pPr>
        <w:pStyle w:val="af2"/>
        <w:numPr>
          <w:ilvl w:val="1"/>
          <w:numId w:val="9"/>
        </w:numPr>
        <w:tabs>
          <w:tab w:val="left" w:pos="619"/>
        </w:tabs>
        <w:spacing w:line="276" w:lineRule="auto"/>
        <w:ind w:left="0" w:firstLine="0"/>
        <w:rPr>
          <w:sz w:val="28"/>
          <w:szCs w:val="28"/>
          <w:lang w:val="en-US"/>
        </w:rPr>
      </w:pPr>
      <w:r w:rsidRPr="00FB6E06">
        <w:rPr>
          <w:sz w:val="28"/>
          <w:szCs w:val="28"/>
          <w:lang w:val="en-US"/>
        </w:rPr>
        <w:t>Relevance</w:t>
      </w:r>
    </w:p>
    <w:p w:rsidR="002C3843" w:rsidRPr="00FB6E06" w:rsidRDefault="001557BE" w:rsidP="008C3D77">
      <w:pPr>
        <w:pStyle w:val="af2"/>
        <w:numPr>
          <w:ilvl w:val="2"/>
          <w:numId w:val="9"/>
        </w:numPr>
        <w:tabs>
          <w:tab w:val="left" w:pos="799"/>
        </w:tabs>
        <w:spacing w:line="276" w:lineRule="auto"/>
        <w:ind w:left="0" w:firstLine="0"/>
        <w:rPr>
          <w:sz w:val="28"/>
          <w:szCs w:val="28"/>
          <w:lang w:val="en-US"/>
        </w:rPr>
      </w:pPr>
      <w:r w:rsidRPr="00FB6E06">
        <w:rPr>
          <w:sz w:val="28"/>
          <w:szCs w:val="28"/>
          <w:lang w:val="en-US"/>
        </w:rPr>
        <w:t>Needs</w:t>
      </w:r>
    </w:p>
    <w:p w:rsidR="00FB6E06" w:rsidRPr="00FB6E06" w:rsidRDefault="00FB6E06" w:rsidP="008C3D77">
      <w:pPr>
        <w:pStyle w:val="af2"/>
        <w:tabs>
          <w:tab w:val="left" w:pos="799"/>
        </w:tabs>
        <w:spacing w:line="276" w:lineRule="auto"/>
        <w:ind w:left="0"/>
        <w:rPr>
          <w:sz w:val="28"/>
          <w:szCs w:val="28"/>
          <w:lang w:val="en-US"/>
        </w:rPr>
      </w:pPr>
      <w:r w:rsidRPr="00FB6E06">
        <w:rPr>
          <w:sz w:val="28"/>
          <w:szCs w:val="28"/>
          <w:lang w:val="en-US"/>
        </w:rPr>
        <w:t>The information contained in the system of national accounts serves as an important tool for analyzing and assessing the economic situation, for shaping and monitoring state economic policy, for conducting forecasting calculations, as well as for administrative purposes and scientific research. In addition, the data are wi</w:t>
      </w:r>
      <w:r w:rsidRPr="00FB6E06">
        <w:rPr>
          <w:sz w:val="28"/>
          <w:szCs w:val="28"/>
          <w:lang w:val="en-US"/>
        </w:rPr>
        <w:t>dely used to inform the public.</w:t>
      </w:r>
      <w:r w:rsidRPr="00FB6E06">
        <w:rPr>
          <w:sz w:val="28"/>
          <w:szCs w:val="28"/>
          <w:lang w:val="en-US"/>
        </w:rPr>
        <w:br/>
        <w:t xml:space="preserve">The annual indicators of the national accounts are generally applied to study structural changes in </w:t>
      </w:r>
      <w:r w:rsidRPr="00FB6E06">
        <w:rPr>
          <w:sz w:val="28"/>
          <w:szCs w:val="28"/>
          <w:lang w:val="en-US"/>
        </w:rPr>
        <w:t>the economy in the medium term.</w:t>
      </w:r>
      <w:r w:rsidRPr="00FB6E06">
        <w:rPr>
          <w:sz w:val="28"/>
          <w:szCs w:val="28"/>
          <w:lang w:val="en-US"/>
        </w:rPr>
        <w:br/>
      </w:r>
      <w:r>
        <w:rPr>
          <w:sz w:val="28"/>
          <w:szCs w:val="28"/>
          <w:lang w:val="en-US"/>
        </w:rPr>
        <w:t>The main users include:</w:t>
      </w:r>
      <w:r>
        <w:rPr>
          <w:sz w:val="28"/>
          <w:szCs w:val="28"/>
          <w:lang w:val="en-US"/>
        </w:rPr>
        <w:br/>
        <w:t> •</w:t>
      </w:r>
      <w:r w:rsidRPr="00FB6E06">
        <w:rPr>
          <w:sz w:val="28"/>
          <w:szCs w:val="28"/>
          <w:lang w:val="en-US"/>
        </w:rPr>
        <w:t> National Bank of the Republic of Kazakhsta</w:t>
      </w:r>
      <w:r>
        <w:rPr>
          <w:sz w:val="28"/>
          <w:szCs w:val="28"/>
          <w:lang w:val="en-US"/>
        </w:rPr>
        <w:t>n;</w:t>
      </w:r>
      <w:r>
        <w:rPr>
          <w:sz w:val="28"/>
          <w:szCs w:val="28"/>
          <w:lang w:val="en-US"/>
        </w:rPr>
        <w:br/>
        <w:t> • </w:t>
      </w:r>
      <w:r w:rsidRPr="00FB6E06">
        <w:rPr>
          <w:sz w:val="28"/>
          <w:szCs w:val="28"/>
          <w:lang w:val="en-US"/>
        </w:rPr>
        <w:t>governme</w:t>
      </w:r>
      <w:r>
        <w:rPr>
          <w:sz w:val="28"/>
          <w:szCs w:val="28"/>
          <w:lang w:val="en-US"/>
        </w:rPr>
        <w:t>nt bodies and agencies;</w:t>
      </w:r>
      <w:r>
        <w:rPr>
          <w:sz w:val="28"/>
          <w:szCs w:val="28"/>
          <w:lang w:val="en-US"/>
        </w:rPr>
        <w:br/>
        <w:t> •</w:t>
      </w:r>
      <w:r w:rsidRPr="00FB6E06">
        <w:rPr>
          <w:sz w:val="28"/>
          <w:szCs w:val="28"/>
          <w:lang w:val="en-US"/>
        </w:rPr>
        <w:t> r</w:t>
      </w:r>
      <w:r>
        <w:rPr>
          <w:sz w:val="28"/>
          <w:szCs w:val="28"/>
          <w:lang w:val="en-US"/>
        </w:rPr>
        <w:t>esearch organizations;</w:t>
      </w:r>
      <w:r>
        <w:rPr>
          <w:sz w:val="28"/>
          <w:szCs w:val="28"/>
          <w:lang w:val="en-US"/>
        </w:rPr>
        <w:br/>
        <w:t> • </w:t>
      </w:r>
      <w:r w:rsidRPr="00FB6E06">
        <w:rPr>
          <w:sz w:val="28"/>
          <w:szCs w:val="28"/>
          <w:lang w:val="en-US"/>
        </w:rPr>
        <w:t>international organizations (including the EAEU, CIS Statist</w:t>
      </w:r>
      <w:r>
        <w:rPr>
          <w:sz w:val="28"/>
          <w:szCs w:val="28"/>
          <w:lang w:val="en-US"/>
        </w:rPr>
        <w:t>ical Committee, etc.);</w:t>
      </w:r>
      <w:r>
        <w:rPr>
          <w:sz w:val="28"/>
          <w:szCs w:val="28"/>
          <w:lang w:val="en-US"/>
        </w:rPr>
        <w:br/>
        <w:t> • </w:t>
      </w:r>
      <w:r w:rsidRPr="00FB6E06">
        <w:rPr>
          <w:sz w:val="28"/>
          <w:szCs w:val="28"/>
          <w:lang w:val="en-US"/>
        </w:rPr>
        <w:t>higher education institutions, le</w:t>
      </w:r>
      <w:r>
        <w:rPr>
          <w:sz w:val="28"/>
          <w:szCs w:val="28"/>
          <w:lang w:val="en-US"/>
        </w:rPr>
        <w:t>cturers, and students;</w:t>
      </w:r>
      <w:r>
        <w:rPr>
          <w:sz w:val="28"/>
          <w:szCs w:val="28"/>
          <w:lang w:val="en-US"/>
        </w:rPr>
        <w:br/>
        <w:t> </w:t>
      </w:r>
      <w:bookmarkStart w:id="1" w:name="_GoBack"/>
      <w:bookmarkEnd w:id="1"/>
      <w:r>
        <w:rPr>
          <w:sz w:val="28"/>
          <w:szCs w:val="28"/>
          <w:lang w:val="en-US"/>
        </w:rPr>
        <w:t>• </w:t>
      </w:r>
      <w:r w:rsidRPr="00FB6E06">
        <w:rPr>
          <w:sz w:val="28"/>
          <w:szCs w:val="28"/>
          <w:lang w:val="en-US"/>
        </w:rPr>
        <w:t>other interested parties.</w:t>
      </w:r>
    </w:p>
    <w:p w:rsidR="002C3843" w:rsidRPr="00FB6E06" w:rsidRDefault="001557BE" w:rsidP="008C3D77">
      <w:pPr>
        <w:pStyle w:val="af2"/>
        <w:tabs>
          <w:tab w:val="left" w:pos="799"/>
        </w:tabs>
        <w:spacing w:line="276" w:lineRule="auto"/>
        <w:ind w:left="0"/>
        <w:rPr>
          <w:sz w:val="28"/>
          <w:szCs w:val="28"/>
          <w:lang w:val="en-US"/>
        </w:rPr>
      </w:pPr>
      <w:r w:rsidRPr="00FB6E06">
        <w:rPr>
          <w:sz w:val="28"/>
          <w:szCs w:val="28"/>
          <w:lang w:val="en-US"/>
        </w:rPr>
        <w:t>S.14.2 User satisfaction</w:t>
      </w:r>
    </w:p>
    <w:p w:rsidR="002C3843" w:rsidRPr="00FB6E06" w:rsidRDefault="001557BE" w:rsidP="008C3D77">
      <w:pPr>
        <w:pStyle w:val="12"/>
        <w:spacing w:line="276" w:lineRule="auto"/>
        <w:ind w:right="20"/>
        <w:jc w:val="both"/>
        <w:rPr>
          <w:sz w:val="28"/>
          <w:szCs w:val="28"/>
          <w:lang w:val="en-US"/>
        </w:rPr>
      </w:pPr>
      <w:r w:rsidRPr="00FB6E06">
        <w:rPr>
          <w:sz w:val="28"/>
          <w:szCs w:val="28"/>
          <w:lang w:val="en-US"/>
        </w:rPr>
        <w:t xml:space="preserve">The Bureau of National Statistics of the Agency for Strategic Planning and Reform of the Republic of Kazakhstan annually conducts a survey of users of official statistical information according to questionnaire Q-002 “User Survey”. </w:t>
      </w:r>
    </w:p>
    <w:p w:rsidR="002C3843" w:rsidRPr="00FB6E06" w:rsidRDefault="001557BE" w:rsidP="008C3D77">
      <w:pPr>
        <w:spacing w:line="276" w:lineRule="auto"/>
        <w:jc w:val="both"/>
        <w:rPr>
          <w:sz w:val="28"/>
          <w:szCs w:val="28"/>
          <w:lang w:val="en-US"/>
        </w:rPr>
      </w:pPr>
      <w:proofErr w:type="gramStart"/>
      <w:r w:rsidRPr="00FB6E06">
        <w:rPr>
          <w:sz w:val="28"/>
          <w:szCs w:val="28"/>
          <w:lang w:val="en-US"/>
        </w:rPr>
        <w:t>S.14.3 Completeness/R1.</w:t>
      </w:r>
      <w:proofErr w:type="gramEnd"/>
      <w:r w:rsidRPr="00FB6E06">
        <w:rPr>
          <w:sz w:val="28"/>
          <w:szCs w:val="28"/>
          <w:lang w:val="en-US"/>
        </w:rPr>
        <w:t xml:space="preserve"> Data completeness-share</w:t>
      </w:r>
    </w:p>
    <w:p w:rsidR="002C3843" w:rsidRPr="00FB6E06" w:rsidRDefault="001557BE" w:rsidP="008C3D77">
      <w:pPr>
        <w:pStyle w:val="12"/>
        <w:spacing w:line="276" w:lineRule="auto"/>
        <w:ind w:right="20"/>
        <w:jc w:val="both"/>
        <w:rPr>
          <w:sz w:val="28"/>
          <w:szCs w:val="28"/>
          <w:lang w:val="en-US"/>
        </w:rPr>
      </w:pPr>
      <w:proofErr w:type="gramStart"/>
      <w:r w:rsidRPr="00FB6E06">
        <w:rPr>
          <w:sz w:val="28"/>
          <w:szCs w:val="28"/>
          <w:lang w:val="en-US"/>
        </w:rPr>
        <w:t>In accordance with the international standard SNA 2008.</w:t>
      </w:r>
      <w:proofErr w:type="gramEnd"/>
    </w:p>
    <w:p w:rsidR="002C3843" w:rsidRPr="00FB6E06" w:rsidRDefault="001557BE" w:rsidP="008C3D77">
      <w:pPr>
        <w:pStyle w:val="af2"/>
        <w:numPr>
          <w:ilvl w:val="1"/>
          <w:numId w:val="8"/>
        </w:numPr>
        <w:tabs>
          <w:tab w:val="left" w:pos="619"/>
        </w:tabs>
        <w:spacing w:line="276" w:lineRule="auto"/>
        <w:ind w:left="0" w:firstLine="0"/>
        <w:rPr>
          <w:sz w:val="28"/>
          <w:szCs w:val="28"/>
          <w:lang w:val="en-US"/>
        </w:rPr>
      </w:pPr>
      <w:r w:rsidRPr="00FB6E06">
        <w:rPr>
          <w:sz w:val="28"/>
          <w:szCs w:val="28"/>
          <w:lang w:val="en-US"/>
        </w:rPr>
        <w:t>Accuracy and reliability (to be completed taking into account the type of observation)</w:t>
      </w:r>
    </w:p>
    <w:p w:rsidR="002C3843" w:rsidRPr="00FB6E06" w:rsidRDefault="001557BE" w:rsidP="008C3D77">
      <w:pPr>
        <w:pStyle w:val="af2"/>
        <w:numPr>
          <w:ilvl w:val="2"/>
          <w:numId w:val="8"/>
        </w:numPr>
        <w:tabs>
          <w:tab w:val="left" w:pos="799"/>
        </w:tabs>
        <w:spacing w:line="276" w:lineRule="auto"/>
        <w:ind w:left="0" w:firstLine="0"/>
        <w:rPr>
          <w:sz w:val="28"/>
          <w:szCs w:val="28"/>
          <w:lang w:val="en-US"/>
        </w:rPr>
      </w:pPr>
      <w:proofErr w:type="spellStart"/>
      <w:r w:rsidRPr="00FB6E06">
        <w:rPr>
          <w:rFonts w:eastAsia="Times New Roman"/>
          <w:sz w:val="28"/>
          <w:szCs w:val="28"/>
        </w:rPr>
        <w:t>General</w:t>
      </w:r>
      <w:proofErr w:type="spellEnd"/>
      <w:r w:rsidRPr="00FB6E06">
        <w:rPr>
          <w:rFonts w:eastAsia="Times New Roman"/>
          <w:sz w:val="28"/>
          <w:szCs w:val="28"/>
        </w:rPr>
        <w:t xml:space="preserve"> </w:t>
      </w:r>
      <w:r w:rsidRPr="00FB6E06">
        <w:rPr>
          <w:sz w:val="28"/>
          <w:szCs w:val="28"/>
          <w:lang w:val="en-US"/>
        </w:rPr>
        <w:t>Accuracy</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The accuracy of the source data is ensured by compliance with methodological recommendations and the methodological validity of data sources obtained from the structural divisions of the Bureau of National Statistics of the Agency for Strategic Planning and Reforms of the Republic of Kazakhstan and government bodies.</w:t>
      </w:r>
    </w:p>
    <w:p w:rsidR="002C3843" w:rsidRPr="00FB6E06" w:rsidRDefault="001557BE" w:rsidP="008C3D77">
      <w:pPr>
        <w:pStyle w:val="af2"/>
        <w:numPr>
          <w:ilvl w:val="2"/>
          <w:numId w:val="8"/>
        </w:numPr>
        <w:tabs>
          <w:tab w:val="left" w:pos="799"/>
        </w:tabs>
        <w:spacing w:line="276" w:lineRule="auto"/>
        <w:ind w:left="0" w:firstLine="0"/>
        <w:rPr>
          <w:sz w:val="28"/>
          <w:szCs w:val="28"/>
          <w:lang w:val="en-US"/>
        </w:rPr>
      </w:pPr>
      <w:r w:rsidRPr="00FB6E06">
        <w:rPr>
          <w:sz w:val="28"/>
          <w:szCs w:val="28"/>
          <w:lang w:val="en-US"/>
        </w:rPr>
        <w:t>Sampling errors-indicators/A1.</w:t>
      </w:r>
    </w:p>
    <w:p w:rsidR="002C3843" w:rsidRPr="00FB6E06" w:rsidRDefault="001557BE" w:rsidP="008C3D77">
      <w:pPr>
        <w:pStyle w:val="af2"/>
        <w:spacing w:line="276" w:lineRule="auto"/>
        <w:ind w:left="0" w:right="5563"/>
        <w:jc w:val="both"/>
        <w:rPr>
          <w:sz w:val="28"/>
          <w:szCs w:val="28"/>
          <w:lang w:val="en-US"/>
        </w:rPr>
      </w:pPr>
      <w:r w:rsidRPr="00FB6E06">
        <w:rPr>
          <w:sz w:val="28"/>
          <w:szCs w:val="28"/>
          <w:lang w:val="en-US"/>
        </w:rPr>
        <w:t>Not applicable.</w:t>
      </w:r>
    </w:p>
    <w:p w:rsidR="002C3843" w:rsidRPr="00FB6E06" w:rsidRDefault="001557BE" w:rsidP="008C3D77">
      <w:pPr>
        <w:pStyle w:val="af2"/>
        <w:numPr>
          <w:ilvl w:val="2"/>
          <w:numId w:val="8"/>
        </w:numPr>
        <w:tabs>
          <w:tab w:val="left" w:pos="799"/>
        </w:tabs>
        <w:spacing w:line="276" w:lineRule="auto"/>
        <w:ind w:left="0" w:firstLine="0"/>
        <w:rPr>
          <w:sz w:val="28"/>
          <w:szCs w:val="28"/>
          <w:lang w:val="en-US"/>
        </w:rPr>
      </w:pPr>
      <w:r w:rsidRPr="00FB6E06">
        <w:rPr>
          <w:sz w:val="28"/>
          <w:szCs w:val="28"/>
          <w:lang w:val="en-US"/>
        </w:rPr>
        <w:t>Non-sampling error</w:t>
      </w:r>
    </w:p>
    <w:p w:rsidR="002C3843" w:rsidRPr="00FB6E06" w:rsidRDefault="001557BE" w:rsidP="008C3D77">
      <w:pPr>
        <w:pStyle w:val="af2"/>
        <w:spacing w:line="276" w:lineRule="auto"/>
        <w:ind w:left="0" w:right="5421"/>
        <w:jc w:val="both"/>
        <w:rPr>
          <w:sz w:val="28"/>
          <w:szCs w:val="28"/>
          <w:lang w:val="en-US"/>
        </w:rPr>
      </w:pPr>
      <w:r w:rsidRPr="00FB6E06">
        <w:rPr>
          <w:sz w:val="28"/>
          <w:szCs w:val="28"/>
          <w:lang w:val="en-US"/>
        </w:rPr>
        <w:t>Not applicable.</w:t>
      </w:r>
    </w:p>
    <w:p w:rsidR="002C3843" w:rsidRPr="00FB6E06" w:rsidRDefault="001557BE" w:rsidP="008C3D77">
      <w:pPr>
        <w:pStyle w:val="af2"/>
        <w:numPr>
          <w:ilvl w:val="3"/>
          <w:numId w:val="8"/>
        </w:numPr>
        <w:tabs>
          <w:tab w:val="left" w:pos="979"/>
        </w:tabs>
        <w:spacing w:line="276" w:lineRule="auto"/>
        <w:ind w:left="0" w:firstLine="0"/>
        <w:rPr>
          <w:sz w:val="28"/>
          <w:szCs w:val="28"/>
          <w:lang w:val="en-US"/>
        </w:rPr>
      </w:pPr>
      <w:r w:rsidRPr="00FB6E06">
        <w:rPr>
          <w:sz w:val="28"/>
          <w:szCs w:val="28"/>
          <w:lang w:val="en-US"/>
        </w:rPr>
        <w:t>Coverage error</w:t>
      </w:r>
    </w:p>
    <w:p w:rsidR="002C3843" w:rsidRPr="00FB6E06" w:rsidRDefault="001557BE" w:rsidP="008C3D77">
      <w:pPr>
        <w:pStyle w:val="af2"/>
        <w:spacing w:line="276" w:lineRule="auto"/>
        <w:ind w:left="0" w:right="5705"/>
        <w:jc w:val="both"/>
        <w:rPr>
          <w:sz w:val="28"/>
          <w:szCs w:val="28"/>
          <w:lang w:val="en-US"/>
        </w:rPr>
      </w:pPr>
      <w:r w:rsidRPr="00FB6E06">
        <w:rPr>
          <w:sz w:val="28"/>
          <w:szCs w:val="28"/>
          <w:lang w:val="en-US"/>
        </w:rPr>
        <w:t>Not applicable.</w:t>
      </w:r>
    </w:p>
    <w:p w:rsidR="002C3843" w:rsidRPr="00FB6E06" w:rsidRDefault="001557BE" w:rsidP="008C3D77">
      <w:pPr>
        <w:pStyle w:val="af2"/>
        <w:numPr>
          <w:ilvl w:val="4"/>
          <w:numId w:val="8"/>
        </w:numPr>
        <w:tabs>
          <w:tab w:val="left" w:pos="1159"/>
        </w:tabs>
        <w:spacing w:line="276" w:lineRule="auto"/>
        <w:ind w:left="0" w:firstLine="0"/>
        <w:rPr>
          <w:sz w:val="28"/>
          <w:szCs w:val="28"/>
          <w:lang w:val="en-US"/>
        </w:rPr>
      </w:pPr>
      <w:r w:rsidRPr="00FB6E06">
        <w:rPr>
          <w:sz w:val="28"/>
          <w:szCs w:val="28"/>
          <w:lang w:val="en-US"/>
        </w:rPr>
        <w:t>A2.</w:t>
      </w:r>
      <w:r w:rsidRPr="00FB6E06">
        <w:rPr>
          <w:sz w:val="28"/>
          <w:szCs w:val="28"/>
        </w:rPr>
        <w:t xml:space="preserve"> </w:t>
      </w:r>
      <w:r w:rsidRPr="00FB6E06">
        <w:rPr>
          <w:sz w:val="28"/>
          <w:szCs w:val="28"/>
          <w:lang w:val="en-US"/>
        </w:rPr>
        <w:t>Excess coverage - share</w:t>
      </w:r>
    </w:p>
    <w:p w:rsidR="002C3843" w:rsidRPr="00FB6E06" w:rsidRDefault="001557BE" w:rsidP="008C3D77">
      <w:pPr>
        <w:pStyle w:val="af2"/>
        <w:spacing w:line="276" w:lineRule="auto"/>
        <w:ind w:left="0" w:right="5421"/>
        <w:jc w:val="both"/>
        <w:rPr>
          <w:sz w:val="28"/>
          <w:szCs w:val="28"/>
          <w:lang w:val="en-US"/>
        </w:rPr>
      </w:pPr>
      <w:r w:rsidRPr="00FB6E06">
        <w:rPr>
          <w:sz w:val="28"/>
          <w:szCs w:val="28"/>
          <w:lang w:val="en-US"/>
        </w:rPr>
        <w:t>Not applicable.</w:t>
      </w:r>
    </w:p>
    <w:p w:rsidR="002C3843" w:rsidRPr="00FB6E06" w:rsidRDefault="001557BE" w:rsidP="008C3D77">
      <w:pPr>
        <w:pStyle w:val="af2"/>
        <w:numPr>
          <w:ilvl w:val="4"/>
          <w:numId w:val="8"/>
        </w:numPr>
        <w:tabs>
          <w:tab w:val="left" w:pos="1159"/>
        </w:tabs>
        <w:spacing w:line="276" w:lineRule="auto"/>
        <w:ind w:left="0" w:firstLine="0"/>
        <w:rPr>
          <w:sz w:val="28"/>
          <w:szCs w:val="28"/>
          <w:lang w:val="en-US"/>
        </w:rPr>
      </w:pPr>
      <w:r w:rsidRPr="00FB6E06">
        <w:rPr>
          <w:sz w:val="28"/>
          <w:szCs w:val="28"/>
          <w:lang w:val="en-US"/>
        </w:rPr>
        <w:t>A3.</w:t>
      </w:r>
      <w:r w:rsidRPr="00FB6E06">
        <w:rPr>
          <w:sz w:val="28"/>
          <w:szCs w:val="28"/>
        </w:rPr>
        <w:t xml:space="preserve"> </w:t>
      </w:r>
      <w:r w:rsidRPr="00FB6E06">
        <w:rPr>
          <w:sz w:val="28"/>
          <w:szCs w:val="28"/>
          <w:lang w:val="en-US"/>
        </w:rPr>
        <w:t>Common units - ratio</w:t>
      </w:r>
    </w:p>
    <w:p w:rsidR="002C3843" w:rsidRPr="00FB6E06" w:rsidRDefault="001557BE" w:rsidP="008C3D77">
      <w:pPr>
        <w:pStyle w:val="af2"/>
        <w:spacing w:line="276" w:lineRule="auto"/>
        <w:ind w:left="0" w:right="5705"/>
        <w:jc w:val="both"/>
        <w:rPr>
          <w:sz w:val="28"/>
          <w:szCs w:val="28"/>
          <w:lang w:val="en-US"/>
        </w:rPr>
      </w:pPr>
      <w:r w:rsidRPr="00FB6E06">
        <w:rPr>
          <w:sz w:val="28"/>
          <w:szCs w:val="28"/>
          <w:lang w:val="en-US"/>
        </w:rPr>
        <w:lastRenderedPageBreak/>
        <w:t>Not applicable.</w:t>
      </w:r>
    </w:p>
    <w:p w:rsidR="002C3843" w:rsidRPr="00FB6E06" w:rsidRDefault="001557BE" w:rsidP="008C3D77">
      <w:pPr>
        <w:pStyle w:val="af2"/>
        <w:numPr>
          <w:ilvl w:val="3"/>
          <w:numId w:val="7"/>
        </w:numPr>
        <w:tabs>
          <w:tab w:val="left" w:pos="979"/>
        </w:tabs>
        <w:spacing w:line="276" w:lineRule="auto"/>
        <w:ind w:left="0" w:firstLine="0"/>
        <w:rPr>
          <w:sz w:val="28"/>
          <w:szCs w:val="28"/>
          <w:lang w:val="en-US"/>
        </w:rPr>
      </w:pPr>
      <w:r w:rsidRPr="00FB6E06">
        <w:rPr>
          <w:sz w:val="28"/>
          <w:szCs w:val="28"/>
          <w:lang w:val="en-US"/>
        </w:rPr>
        <w:t>No response errors</w:t>
      </w:r>
    </w:p>
    <w:p w:rsidR="002C3843" w:rsidRPr="00FB6E06" w:rsidRDefault="001557BE" w:rsidP="008C3D77">
      <w:pPr>
        <w:pStyle w:val="af2"/>
        <w:numPr>
          <w:ilvl w:val="4"/>
          <w:numId w:val="7"/>
        </w:numPr>
        <w:tabs>
          <w:tab w:val="left" w:pos="1159"/>
        </w:tabs>
        <w:spacing w:line="276" w:lineRule="auto"/>
        <w:ind w:left="0" w:firstLine="0"/>
        <w:rPr>
          <w:sz w:val="28"/>
          <w:szCs w:val="28"/>
          <w:lang w:val="en-US"/>
        </w:rPr>
      </w:pPr>
      <w:r w:rsidRPr="00FB6E06">
        <w:rPr>
          <w:sz w:val="28"/>
          <w:szCs w:val="28"/>
          <w:lang w:val="en-US"/>
        </w:rPr>
        <w:t>A4.</w:t>
      </w:r>
      <w:r w:rsidRPr="00FB6E06">
        <w:rPr>
          <w:sz w:val="28"/>
          <w:szCs w:val="28"/>
        </w:rPr>
        <w:t xml:space="preserve"> </w:t>
      </w:r>
      <w:r w:rsidRPr="00FB6E06">
        <w:rPr>
          <w:sz w:val="28"/>
          <w:szCs w:val="28"/>
          <w:lang w:val="en-US"/>
        </w:rPr>
        <w:t>Unit of absence - share</w:t>
      </w:r>
    </w:p>
    <w:p w:rsidR="002C3843" w:rsidRPr="00FB6E06" w:rsidRDefault="001557BE" w:rsidP="008C3D77">
      <w:pPr>
        <w:pStyle w:val="af2"/>
        <w:tabs>
          <w:tab w:val="left" w:pos="2835"/>
          <w:tab w:val="left" w:pos="3119"/>
        </w:tabs>
        <w:spacing w:line="276" w:lineRule="auto"/>
        <w:ind w:left="0" w:right="5279"/>
        <w:jc w:val="both"/>
        <w:rPr>
          <w:sz w:val="28"/>
          <w:szCs w:val="28"/>
          <w:lang w:val="en-US"/>
        </w:rPr>
      </w:pPr>
      <w:r w:rsidRPr="00FB6E06">
        <w:rPr>
          <w:sz w:val="28"/>
          <w:szCs w:val="28"/>
          <w:lang w:val="en-US"/>
        </w:rPr>
        <w:t>Not applicable.</w:t>
      </w:r>
    </w:p>
    <w:p w:rsidR="002C3843" w:rsidRPr="00FB6E06" w:rsidRDefault="001557BE" w:rsidP="008C3D77">
      <w:pPr>
        <w:pStyle w:val="af2"/>
        <w:numPr>
          <w:ilvl w:val="4"/>
          <w:numId w:val="7"/>
        </w:numPr>
        <w:tabs>
          <w:tab w:val="left" w:pos="1159"/>
        </w:tabs>
        <w:spacing w:line="276" w:lineRule="auto"/>
        <w:ind w:left="0" w:firstLine="0"/>
        <w:rPr>
          <w:sz w:val="28"/>
          <w:szCs w:val="28"/>
          <w:lang w:val="en-US"/>
        </w:rPr>
      </w:pPr>
      <w:r w:rsidRPr="00FB6E06">
        <w:rPr>
          <w:sz w:val="28"/>
          <w:szCs w:val="28"/>
          <w:lang w:val="en-US"/>
        </w:rPr>
        <w:t>A5.</w:t>
      </w:r>
      <w:r w:rsidRPr="00FB6E06">
        <w:rPr>
          <w:sz w:val="28"/>
          <w:szCs w:val="28"/>
        </w:rPr>
        <w:t xml:space="preserve"> </w:t>
      </w:r>
      <w:r w:rsidRPr="00FB6E06">
        <w:rPr>
          <w:sz w:val="28"/>
          <w:szCs w:val="28"/>
          <w:lang w:val="en-US"/>
        </w:rPr>
        <w:t>No response item - share</w:t>
      </w:r>
    </w:p>
    <w:p w:rsidR="002C3843" w:rsidRPr="00FB6E06" w:rsidRDefault="001557BE" w:rsidP="008C3D77">
      <w:pPr>
        <w:pStyle w:val="af2"/>
        <w:spacing w:line="276" w:lineRule="auto"/>
        <w:ind w:left="0" w:right="5138"/>
        <w:jc w:val="both"/>
        <w:rPr>
          <w:sz w:val="28"/>
          <w:szCs w:val="28"/>
          <w:lang w:val="en-US"/>
        </w:rPr>
      </w:pPr>
      <w:r w:rsidRPr="00FB6E06">
        <w:rPr>
          <w:sz w:val="28"/>
          <w:szCs w:val="28"/>
          <w:lang w:val="en-US"/>
        </w:rPr>
        <w:t>Not applicable.</w:t>
      </w:r>
    </w:p>
    <w:p w:rsidR="002C3843" w:rsidRPr="00FB6E06" w:rsidRDefault="001557BE" w:rsidP="008C3D77">
      <w:pPr>
        <w:pStyle w:val="af2"/>
        <w:numPr>
          <w:ilvl w:val="1"/>
          <w:numId w:val="6"/>
        </w:numPr>
        <w:tabs>
          <w:tab w:val="left" w:pos="619"/>
        </w:tabs>
        <w:spacing w:line="276" w:lineRule="auto"/>
        <w:ind w:left="0" w:firstLine="0"/>
        <w:rPr>
          <w:sz w:val="28"/>
          <w:szCs w:val="28"/>
          <w:lang w:val="en-US"/>
        </w:rPr>
      </w:pPr>
      <w:r w:rsidRPr="00FB6E06">
        <w:rPr>
          <w:sz w:val="28"/>
          <w:szCs w:val="28"/>
          <w:lang w:val="en-US"/>
        </w:rPr>
        <w:t>Timeliness and punctuality</w:t>
      </w:r>
    </w:p>
    <w:p w:rsidR="002C3843" w:rsidRPr="00FB6E06" w:rsidRDefault="001557BE" w:rsidP="008C3D77">
      <w:pPr>
        <w:pStyle w:val="af2"/>
        <w:numPr>
          <w:ilvl w:val="2"/>
          <w:numId w:val="6"/>
        </w:numPr>
        <w:tabs>
          <w:tab w:val="left" w:pos="799"/>
        </w:tabs>
        <w:spacing w:line="276" w:lineRule="auto"/>
        <w:ind w:left="0" w:firstLine="0"/>
        <w:rPr>
          <w:sz w:val="28"/>
          <w:szCs w:val="28"/>
          <w:lang w:val="en-US"/>
        </w:rPr>
      </w:pPr>
      <w:r w:rsidRPr="00FB6E06">
        <w:rPr>
          <w:sz w:val="28"/>
          <w:szCs w:val="28"/>
          <w:lang w:val="en-US"/>
        </w:rPr>
        <w:t>Timeliness</w:t>
      </w:r>
    </w:p>
    <w:p w:rsidR="002C3843" w:rsidRPr="00FB6E06" w:rsidRDefault="001557BE" w:rsidP="008C3D77">
      <w:pPr>
        <w:pStyle w:val="af2"/>
        <w:numPr>
          <w:ilvl w:val="3"/>
          <w:numId w:val="6"/>
        </w:numPr>
        <w:tabs>
          <w:tab w:val="left" w:pos="979"/>
        </w:tabs>
        <w:spacing w:line="276" w:lineRule="auto"/>
        <w:ind w:left="0" w:firstLine="0"/>
        <w:rPr>
          <w:sz w:val="28"/>
          <w:szCs w:val="28"/>
          <w:lang w:val="en-US"/>
        </w:rPr>
      </w:pPr>
      <w:r w:rsidRPr="00FB6E06">
        <w:rPr>
          <w:sz w:val="28"/>
          <w:szCs w:val="28"/>
          <w:lang w:val="en-US"/>
        </w:rPr>
        <w:t>TP1.Waiting period - first results</w:t>
      </w:r>
    </w:p>
    <w:p w:rsidR="002C3843" w:rsidRPr="00FB6E06" w:rsidRDefault="001557BE" w:rsidP="008C3D77">
      <w:pPr>
        <w:pStyle w:val="12"/>
        <w:shd w:val="clear" w:color="auto" w:fill="auto"/>
        <w:spacing w:line="276" w:lineRule="auto"/>
        <w:ind w:right="20"/>
        <w:jc w:val="both"/>
        <w:rPr>
          <w:rFonts w:eastAsiaTheme="minorEastAsia"/>
          <w:sz w:val="28"/>
          <w:szCs w:val="28"/>
          <w:lang w:val="en-US"/>
        </w:rPr>
      </w:pPr>
      <w:r w:rsidRPr="00FB6E06">
        <w:rPr>
          <w:rFonts w:eastAsiaTheme="minorEastAsia"/>
          <w:sz w:val="28"/>
          <w:szCs w:val="28"/>
          <w:lang w:val="en-US"/>
        </w:rPr>
        <w:t>Data are published 1</w:t>
      </w:r>
      <w:r w:rsidRPr="00FB6E06">
        <w:rPr>
          <w:rFonts w:eastAsiaTheme="minorEastAsia"/>
          <w:sz w:val="28"/>
          <w:szCs w:val="28"/>
          <w:lang w:val="kk-KZ"/>
        </w:rPr>
        <w:t>2</w:t>
      </w:r>
      <w:r w:rsidRPr="00FB6E06">
        <w:rPr>
          <w:rFonts w:eastAsiaTheme="minorEastAsia"/>
          <w:sz w:val="28"/>
          <w:szCs w:val="28"/>
          <w:lang w:val="en-US"/>
        </w:rPr>
        <w:t xml:space="preserve"> months after the reporting period (T+1</w:t>
      </w:r>
      <w:r w:rsidRPr="00FB6E06">
        <w:rPr>
          <w:rFonts w:eastAsiaTheme="minorEastAsia"/>
          <w:sz w:val="28"/>
          <w:szCs w:val="28"/>
          <w:lang w:val="kk-KZ"/>
        </w:rPr>
        <w:t>2</w:t>
      </w:r>
      <w:r w:rsidRPr="00FB6E06">
        <w:rPr>
          <w:rFonts w:eastAsiaTheme="minorEastAsia"/>
          <w:sz w:val="28"/>
          <w:szCs w:val="28"/>
          <w:lang w:val="en-US"/>
        </w:rPr>
        <w:t>).</w:t>
      </w:r>
    </w:p>
    <w:p w:rsidR="002C3843" w:rsidRPr="00FB6E06" w:rsidRDefault="001557BE" w:rsidP="008C3D77">
      <w:pPr>
        <w:pStyle w:val="af2"/>
        <w:numPr>
          <w:ilvl w:val="3"/>
          <w:numId w:val="6"/>
        </w:numPr>
        <w:tabs>
          <w:tab w:val="left" w:pos="979"/>
        </w:tabs>
        <w:spacing w:line="276" w:lineRule="auto"/>
        <w:ind w:left="0" w:firstLine="0"/>
        <w:rPr>
          <w:sz w:val="28"/>
          <w:szCs w:val="28"/>
          <w:lang w:val="en-US"/>
        </w:rPr>
      </w:pPr>
      <w:r w:rsidRPr="00FB6E06">
        <w:rPr>
          <w:sz w:val="28"/>
          <w:szCs w:val="28"/>
          <w:lang w:val="en-US"/>
        </w:rPr>
        <w:t>TP2.Waiting period - latest results</w:t>
      </w:r>
    </w:p>
    <w:p w:rsidR="002C3843" w:rsidRPr="00FB6E06" w:rsidRDefault="001557BE" w:rsidP="008C3D77">
      <w:pPr>
        <w:pStyle w:val="12"/>
        <w:shd w:val="clear" w:color="auto" w:fill="auto"/>
        <w:spacing w:line="276" w:lineRule="auto"/>
        <w:ind w:right="20"/>
        <w:jc w:val="both"/>
        <w:rPr>
          <w:rFonts w:eastAsiaTheme="minorEastAsia"/>
          <w:sz w:val="28"/>
          <w:szCs w:val="28"/>
          <w:lang w:val="en-US"/>
        </w:rPr>
      </w:pPr>
      <w:r w:rsidRPr="00FB6E06">
        <w:rPr>
          <w:sz w:val="28"/>
          <w:szCs w:val="28"/>
          <w:lang w:val="kk-KZ"/>
        </w:rPr>
        <w:t>Final data are published 2 years after the reporting period</w:t>
      </w:r>
      <w:r w:rsidRPr="00FB6E06">
        <w:rPr>
          <w:sz w:val="28"/>
          <w:szCs w:val="28"/>
          <w:lang w:val="en-US"/>
        </w:rPr>
        <w:t>.</w:t>
      </w:r>
    </w:p>
    <w:p w:rsidR="002C3843" w:rsidRPr="00FB6E06" w:rsidRDefault="001557BE" w:rsidP="008C3D77">
      <w:pPr>
        <w:pStyle w:val="af2"/>
        <w:tabs>
          <w:tab w:val="left" w:pos="709"/>
        </w:tabs>
        <w:spacing w:line="276" w:lineRule="auto"/>
        <w:ind w:left="0"/>
        <w:rPr>
          <w:sz w:val="28"/>
          <w:szCs w:val="28"/>
          <w:lang w:val="en-US"/>
        </w:rPr>
      </w:pPr>
      <w:r w:rsidRPr="00FB6E06">
        <w:rPr>
          <w:sz w:val="28"/>
          <w:szCs w:val="28"/>
          <w:lang w:val="en-US"/>
        </w:rPr>
        <w:t>S.16.2 Punctuality</w:t>
      </w:r>
    </w:p>
    <w:p w:rsidR="002C3843" w:rsidRPr="00FB6E06" w:rsidRDefault="001557BE" w:rsidP="008C3D77">
      <w:pPr>
        <w:pStyle w:val="af2"/>
        <w:spacing w:line="276" w:lineRule="auto"/>
        <w:ind w:left="0"/>
        <w:rPr>
          <w:sz w:val="28"/>
          <w:szCs w:val="28"/>
          <w:lang w:val="en-US"/>
        </w:rPr>
      </w:pPr>
      <w:r w:rsidRPr="00FB6E06">
        <w:rPr>
          <w:sz w:val="28"/>
          <w:szCs w:val="28"/>
          <w:lang w:val="en-US"/>
        </w:rPr>
        <w:t>S.16.2.1 Punctuality/TP3</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Data are published and disseminated within the time frame in accordance with the Statistical Work Plan and the Dissemination Schedule of Official Statistical Information, approved by order of the head of the Bureau of National Statistics of the Agency for Strategic Planning and Reforms of the Republic of Kazakhstan.</w:t>
      </w:r>
    </w:p>
    <w:p w:rsidR="002C3843" w:rsidRPr="00FB6E06" w:rsidRDefault="001557BE" w:rsidP="008C3D77">
      <w:pPr>
        <w:pStyle w:val="af2"/>
        <w:tabs>
          <w:tab w:val="left" w:pos="709"/>
        </w:tabs>
        <w:spacing w:line="276" w:lineRule="auto"/>
        <w:ind w:left="0" w:right="121"/>
        <w:jc w:val="both"/>
        <w:rPr>
          <w:spacing w:val="11"/>
          <w:sz w:val="28"/>
          <w:szCs w:val="28"/>
          <w:lang w:val="en-US"/>
        </w:rPr>
      </w:pPr>
      <w:r w:rsidRPr="00FB6E06">
        <w:rPr>
          <w:sz w:val="28"/>
          <w:szCs w:val="28"/>
          <w:lang w:val="en-US"/>
        </w:rPr>
        <w:t>S.17</w:t>
      </w:r>
      <w:r w:rsidRPr="00FB6E06">
        <w:rPr>
          <w:sz w:val="28"/>
          <w:szCs w:val="28"/>
          <w:lang w:val="en-US"/>
        </w:rPr>
        <w:tab/>
      </w:r>
      <w:r w:rsidRPr="00FB6E06">
        <w:rPr>
          <w:rFonts w:eastAsia="Times New Roman"/>
          <w:sz w:val="28"/>
          <w:szCs w:val="28"/>
          <w:lang w:val="en-US"/>
        </w:rPr>
        <w:t>Comparability</w:t>
      </w:r>
    </w:p>
    <w:p w:rsidR="002C3843" w:rsidRPr="00FB6E06" w:rsidRDefault="001557BE" w:rsidP="008C3D77">
      <w:pPr>
        <w:pStyle w:val="af2"/>
        <w:numPr>
          <w:ilvl w:val="2"/>
          <w:numId w:val="5"/>
        </w:numPr>
        <w:tabs>
          <w:tab w:val="left" w:pos="799"/>
        </w:tabs>
        <w:spacing w:line="276" w:lineRule="auto"/>
        <w:ind w:left="0" w:firstLine="0"/>
        <w:jc w:val="both"/>
        <w:rPr>
          <w:sz w:val="28"/>
          <w:szCs w:val="28"/>
          <w:lang w:val="en-US"/>
        </w:rPr>
      </w:pPr>
      <w:r w:rsidRPr="00FB6E06">
        <w:rPr>
          <w:sz w:val="28"/>
          <w:szCs w:val="28"/>
          <w:lang w:val="en-US"/>
        </w:rPr>
        <w:t>Geographical comparability</w:t>
      </w:r>
    </w:p>
    <w:p w:rsidR="002C3843" w:rsidRPr="00FB6E06" w:rsidRDefault="001557BE" w:rsidP="008C3D77">
      <w:pPr>
        <w:pStyle w:val="af4"/>
        <w:tabs>
          <w:tab w:val="left" w:pos="9356"/>
        </w:tabs>
        <w:spacing w:line="277" w:lineRule="auto"/>
        <w:ind w:right="-23"/>
        <w:jc w:val="both"/>
        <w:rPr>
          <w:sz w:val="28"/>
          <w:szCs w:val="28"/>
          <w:lang w:val="en-US"/>
        </w:rPr>
      </w:pPr>
      <w:r w:rsidRPr="00FB6E06">
        <w:rPr>
          <w:rFonts w:eastAsia="Times New Roman"/>
          <w:sz w:val="28"/>
          <w:szCs w:val="28"/>
          <w:lang w:val="en-US"/>
        </w:rPr>
        <w:t>Comparable at the international level, because calculations are carried out in accordance with the methodologies: System of National Accounts 2008.</w:t>
      </w:r>
    </w:p>
    <w:p w:rsidR="002C3843" w:rsidRPr="00FB6E06" w:rsidRDefault="001557BE" w:rsidP="008C3D77">
      <w:pPr>
        <w:pStyle w:val="af2"/>
        <w:spacing w:line="276" w:lineRule="auto"/>
        <w:ind w:left="0"/>
        <w:jc w:val="both"/>
        <w:rPr>
          <w:sz w:val="28"/>
          <w:szCs w:val="28"/>
          <w:lang w:val="en-US"/>
        </w:rPr>
      </w:pPr>
      <w:r w:rsidRPr="00FB6E06">
        <w:rPr>
          <w:sz w:val="28"/>
          <w:szCs w:val="28"/>
          <w:lang w:val="en-US"/>
        </w:rPr>
        <w:t>S.17.1.1 Asymmetry by mirror flow statistics - coefficient/CC1</w:t>
      </w:r>
    </w:p>
    <w:p w:rsidR="002C3843" w:rsidRPr="00FB6E06" w:rsidRDefault="001557BE" w:rsidP="008C3D77">
      <w:pPr>
        <w:pStyle w:val="af2"/>
        <w:spacing w:line="276" w:lineRule="auto"/>
        <w:ind w:left="0" w:right="35"/>
        <w:jc w:val="both"/>
        <w:rPr>
          <w:spacing w:val="18"/>
          <w:sz w:val="28"/>
          <w:szCs w:val="28"/>
          <w:lang w:val="en-US"/>
        </w:rPr>
      </w:pPr>
      <w:proofErr w:type="gramStart"/>
      <w:r w:rsidRPr="00FB6E06">
        <w:rPr>
          <w:spacing w:val="18"/>
          <w:sz w:val="28"/>
          <w:szCs w:val="28"/>
          <w:lang w:val="en-US"/>
        </w:rPr>
        <w:t>Unacceptable.</w:t>
      </w:r>
      <w:proofErr w:type="gramEnd"/>
    </w:p>
    <w:p w:rsidR="002C3843" w:rsidRPr="00FB6E06" w:rsidRDefault="001557BE" w:rsidP="008C3D77">
      <w:pPr>
        <w:pStyle w:val="af2"/>
        <w:numPr>
          <w:ilvl w:val="2"/>
          <w:numId w:val="5"/>
        </w:numPr>
        <w:tabs>
          <w:tab w:val="left" w:pos="799"/>
        </w:tabs>
        <w:spacing w:line="276" w:lineRule="auto"/>
        <w:ind w:left="0" w:firstLine="0"/>
        <w:jc w:val="both"/>
        <w:rPr>
          <w:sz w:val="28"/>
          <w:szCs w:val="28"/>
          <w:lang w:val="en-US"/>
        </w:rPr>
      </w:pPr>
      <w:r w:rsidRPr="00FB6E06">
        <w:rPr>
          <w:sz w:val="28"/>
          <w:szCs w:val="28"/>
          <w:lang w:val="en-US"/>
        </w:rPr>
        <w:t>Duration of comparable time series/CC2</w:t>
      </w:r>
    </w:p>
    <w:p w:rsidR="002C3843" w:rsidRPr="00FB6E06" w:rsidRDefault="001557BE" w:rsidP="008C3D77">
      <w:pPr>
        <w:pStyle w:val="af2"/>
        <w:tabs>
          <w:tab w:val="left" w:pos="799"/>
        </w:tabs>
        <w:spacing w:line="276" w:lineRule="auto"/>
        <w:ind w:left="0"/>
        <w:jc w:val="both"/>
        <w:rPr>
          <w:rFonts w:eastAsia="Times New Roman"/>
          <w:sz w:val="28"/>
          <w:szCs w:val="28"/>
          <w:lang w:val="en-US"/>
        </w:rPr>
      </w:pPr>
      <w:proofErr w:type="gramStart"/>
      <w:r w:rsidRPr="00FB6E06">
        <w:rPr>
          <w:rFonts w:eastAsia="Times New Roman"/>
          <w:sz w:val="28"/>
          <w:szCs w:val="28"/>
          <w:lang w:val="en-US"/>
        </w:rPr>
        <w:t>Since 1998.</w:t>
      </w:r>
      <w:proofErr w:type="gramEnd"/>
    </w:p>
    <w:p w:rsidR="002C3843" w:rsidRPr="00FB6E06" w:rsidRDefault="001557BE" w:rsidP="008C3D77">
      <w:pPr>
        <w:pStyle w:val="af2"/>
        <w:tabs>
          <w:tab w:val="left" w:pos="142"/>
          <w:tab w:val="left" w:pos="426"/>
        </w:tabs>
        <w:spacing w:line="276" w:lineRule="auto"/>
        <w:ind w:left="0" w:right="127"/>
        <w:jc w:val="both"/>
        <w:rPr>
          <w:sz w:val="28"/>
          <w:szCs w:val="28"/>
          <w:lang w:val="en-US"/>
        </w:rPr>
      </w:pPr>
      <w:r w:rsidRPr="00FB6E06">
        <w:rPr>
          <w:sz w:val="28"/>
          <w:szCs w:val="28"/>
          <w:lang w:val="en-US"/>
        </w:rPr>
        <w:t>S.18 Consistency</w:t>
      </w:r>
    </w:p>
    <w:p w:rsidR="002C3843" w:rsidRPr="00FB6E06" w:rsidRDefault="001557BE" w:rsidP="008C3D77">
      <w:pPr>
        <w:pStyle w:val="af2"/>
        <w:numPr>
          <w:ilvl w:val="2"/>
          <w:numId w:val="4"/>
        </w:numPr>
        <w:tabs>
          <w:tab w:val="left" w:pos="799"/>
        </w:tabs>
        <w:spacing w:line="276" w:lineRule="auto"/>
        <w:ind w:left="0" w:firstLine="0"/>
        <w:rPr>
          <w:sz w:val="28"/>
          <w:szCs w:val="28"/>
          <w:lang w:val="en-US"/>
        </w:rPr>
      </w:pPr>
      <w:proofErr w:type="spellStart"/>
      <w:r w:rsidRPr="00FB6E06">
        <w:rPr>
          <w:rFonts w:eastAsia="Times New Roman"/>
          <w:sz w:val="28"/>
          <w:szCs w:val="28"/>
        </w:rPr>
        <w:t>External</w:t>
      </w:r>
      <w:proofErr w:type="spellEnd"/>
      <w:r w:rsidRPr="00FB6E06">
        <w:rPr>
          <w:rFonts w:eastAsia="Times New Roman"/>
          <w:sz w:val="28"/>
          <w:szCs w:val="28"/>
        </w:rPr>
        <w:t xml:space="preserve">, </w:t>
      </w:r>
      <w:proofErr w:type="spellStart"/>
      <w:r w:rsidRPr="00FB6E06">
        <w:rPr>
          <w:rFonts w:eastAsia="Times New Roman"/>
          <w:sz w:val="28"/>
          <w:szCs w:val="28"/>
        </w:rPr>
        <w:t>cross-consistency</w:t>
      </w:r>
      <w:proofErr w:type="spellEnd"/>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Calculations are carried out in accordance with the 2008 System of National Accounts methodology prepared by the International Monetary Fund (IMF</w:t>
      </w:r>
      <w:proofErr w:type="gramStart"/>
      <w:r w:rsidRPr="00FB6E06">
        <w:rPr>
          <w:rFonts w:eastAsia="Times New Roman"/>
          <w:sz w:val="28"/>
          <w:szCs w:val="28"/>
          <w:lang w:val="en-US"/>
        </w:rPr>
        <w:t>) ,</w:t>
      </w:r>
      <w:proofErr w:type="gramEnd"/>
      <w:r w:rsidRPr="00FB6E06">
        <w:rPr>
          <w:rFonts w:eastAsia="Times New Roman"/>
          <w:sz w:val="28"/>
          <w:szCs w:val="28"/>
          <w:lang w:val="en-US"/>
        </w:rPr>
        <w:t xml:space="preserve"> the Organization for Economic Co-operation and Development (OECD), the Statistical Office of the European Communities ( Eurostat ), the United Nations (UN) and the Tourism Satellite Account: Recommended Methodological basis, 2008 , which ensures the use of uniform concepts, definitions, classifications and assessment methods.</w:t>
      </w:r>
    </w:p>
    <w:p w:rsidR="002C3843" w:rsidRPr="00FB6E06" w:rsidRDefault="001557BE" w:rsidP="008C3D77">
      <w:pPr>
        <w:pStyle w:val="af2"/>
        <w:tabs>
          <w:tab w:val="left" w:pos="799"/>
        </w:tabs>
        <w:spacing w:line="276" w:lineRule="auto"/>
        <w:ind w:left="0"/>
        <w:rPr>
          <w:sz w:val="28"/>
          <w:szCs w:val="28"/>
          <w:lang w:val="en-US"/>
        </w:rPr>
      </w:pPr>
      <w:r w:rsidRPr="00FB6E06">
        <w:rPr>
          <w:sz w:val="28"/>
          <w:szCs w:val="28"/>
          <w:lang w:val="en-US"/>
        </w:rPr>
        <w:t>S.18.2 Internal consistency</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Within the system of national accounts, there is consistency between national accounts data. However, complete consistency is not always possible due to the use of different data sources.</w:t>
      </w:r>
    </w:p>
    <w:p w:rsidR="002C3843" w:rsidRPr="00FB6E06" w:rsidRDefault="001557BE" w:rsidP="008C3D77">
      <w:pPr>
        <w:pStyle w:val="af2"/>
        <w:numPr>
          <w:ilvl w:val="1"/>
          <w:numId w:val="3"/>
        </w:numPr>
        <w:tabs>
          <w:tab w:val="left" w:pos="619"/>
        </w:tabs>
        <w:spacing w:line="276" w:lineRule="auto"/>
        <w:ind w:left="0" w:firstLine="0"/>
        <w:rPr>
          <w:sz w:val="28"/>
          <w:szCs w:val="28"/>
          <w:lang w:val="en-US"/>
        </w:rPr>
      </w:pPr>
      <w:r w:rsidRPr="00FB6E06">
        <w:rPr>
          <w:sz w:val="28"/>
          <w:szCs w:val="28"/>
          <w:lang w:val="en-US"/>
        </w:rPr>
        <w:t>Load</w:t>
      </w:r>
    </w:p>
    <w:p w:rsidR="008C3D77" w:rsidRPr="00FB6E06" w:rsidRDefault="001557BE" w:rsidP="008C3D77">
      <w:pPr>
        <w:widowControl/>
        <w:jc w:val="both"/>
        <w:rPr>
          <w:rFonts w:eastAsia="Times New Roman"/>
          <w:sz w:val="28"/>
          <w:szCs w:val="28"/>
          <w:lang w:val="en-US"/>
        </w:rPr>
      </w:pPr>
      <w:r w:rsidRPr="00FB6E06">
        <w:rPr>
          <w:rFonts w:eastAsia="Times New Roman"/>
          <w:sz w:val="28"/>
          <w:szCs w:val="28"/>
          <w:lang w:val="en-US"/>
        </w:rPr>
        <w:t>The compilation of national wealth indicators is carried out by specialists of the Department of National Accounts using Excel software. There is no respondent burden involved in this process.</w:t>
      </w:r>
      <w:r w:rsidR="008C3D77" w:rsidRPr="00FB6E06">
        <w:rPr>
          <w:rFonts w:eastAsia="Times New Roman"/>
          <w:sz w:val="28"/>
          <w:szCs w:val="28"/>
          <w:lang w:val="en-US"/>
        </w:rPr>
        <w:t xml:space="preserve"> </w:t>
      </w:r>
    </w:p>
    <w:p w:rsidR="002C3843" w:rsidRPr="00FB6E06" w:rsidRDefault="001557BE" w:rsidP="008C3D77">
      <w:pPr>
        <w:widowControl/>
        <w:ind w:firstLine="720"/>
        <w:jc w:val="both"/>
        <w:rPr>
          <w:rFonts w:eastAsia="Times New Roman"/>
          <w:sz w:val="28"/>
          <w:szCs w:val="28"/>
          <w:lang w:val="en-US"/>
        </w:rPr>
      </w:pPr>
      <w:r w:rsidRPr="00FB6E06">
        <w:rPr>
          <w:rFonts w:eastAsia="Times New Roman"/>
          <w:sz w:val="28"/>
          <w:szCs w:val="28"/>
          <w:lang w:val="en-US"/>
        </w:rPr>
        <w:lastRenderedPageBreak/>
        <w:t>The calculations are based on data from nationwide statistical surveys, as well as information from departmental and administrative sources. There is no duplication with other statistical activities.</w:t>
      </w:r>
    </w:p>
    <w:p w:rsidR="002C3843" w:rsidRPr="00FB6E06" w:rsidRDefault="001557BE" w:rsidP="008C3D77">
      <w:pPr>
        <w:pStyle w:val="af2"/>
        <w:numPr>
          <w:ilvl w:val="1"/>
          <w:numId w:val="3"/>
        </w:numPr>
        <w:tabs>
          <w:tab w:val="left" w:pos="619"/>
        </w:tabs>
        <w:spacing w:line="276" w:lineRule="auto"/>
        <w:ind w:left="0" w:firstLine="0"/>
        <w:rPr>
          <w:sz w:val="28"/>
          <w:szCs w:val="28"/>
          <w:lang w:val="en-US"/>
        </w:rPr>
      </w:pPr>
      <w:r w:rsidRPr="00FB6E06">
        <w:rPr>
          <w:sz w:val="28"/>
          <w:szCs w:val="28"/>
          <w:lang w:val="en-US"/>
        </w:rPr>
        <w:t>Data revision</w:t>
      </w:r>
    </w:p>
    <w:p w:rsidR="002C3843" w:rsidRPr="00FB6E06" w:rsidRDefault="001557BE" w:rsidP="008C3D77">
      <w:pPr>
        <w:pStyle w:val="af2"/>
        <w:numPr>
          <w:ilvl w:val="2"/>
          <w:numId w:val="3"/>
        </w:numPr>
        <w:tabs>
          <w:tab w:val="left" w:pos="799"/>
        </w:tabs>
        <w:spacing w:line="276" w:lineRule="auto"/>
        <w:ind w:left="0" w:firstLine="0"/>
        <w:rPr>
          <w:sz w:val="28"/>
          <w:szCs w:val="28"/>
          <w:lang w:val="en-US"/>
        </w:rPr>
      </w:pPr>
      <w:r w:rsidRPr="00FB6E06">
        <w:rPr>
          <w:sz w:val="28"/>
          <w:szCs w:val="28"/>
          <w:lang w:val="en-US"/>
        </w:rPr>
        <w:t>Data revision/A6</w:t>
      </w:r>
    </w:p>
    <w:p w:rsidR="002C3843" w:rsidRPr="00FB6E06" w:rsidRDefault="001557BE" w:rsidP="008C3D77">
      <w:pPr>
        <w:pStyle w:val="af2"/>
        <w:tabs>
          <w:tab w:val="left" w:pos="619"/>
        </w:tabs>
        <w:spacing w:line="276" w:lineRule="auto"/>
        <w:ind w:left="0"/>
        <w:jc w:val="both"/>
        <w:rPr>
          <w:rFonts w:eastAsia="Times New Roman"/>
          <w:sz w:val="28"/>
          <w:szCs w:val="28"/>
          <w:lang w:val="en-US"/>
        </w:rPr>
      </w:pPr>
      <w:r w:rsidRPr="00FB6E06">
        <w:rPr>
          <w:rFonts w:eastAsia="Times New Roman"/>
          <w:sz w:val="28"/>
          <w:szCs w:val="28"/>
          <w:lang w:val="en-US"/>
        </w:rPr>
        <w:t>In 2020, the methodology and data sources used in the compilation of national wealth indicators were revised. As a result, the data for 2010–2018 were recalculated.</w:t>
      </w:r>
    </w:p>
    <w:p w:rsidR="002C3843" w:rsidRPr="00FB6E06" w:rsidRDefault="008C3D77" w:rsidP="008C3D77">
      <w:pPr>
        <w:pStyle w:val="af2"/>
        <w:tabs>
          <w:tab w:val="left" w:pos="619"/>
        </w:tabs>
        <w:spacing w:line="276" w:lineRule="auto"/>
        <w:ind w:left="0"/>
        <w:jc w:val="both"/>
        <w:rPr>
          <w:rFonts w:eastAsia="Times New Roman"/>
          <w:sz w:val="28"/>
          <w:szCs w:val="28"/>
          <w:lang w:val="en-US"/>
        </w:rPr>
      </w:pPr>
      <w:r w:rsidRPr="00FB6E06">
        <w:rPr>
          <w:rFonts w:eastAsia="Times New Roman"/>
          <w:sz w:val="28"/>
          <w:szCs w:val="28"/>
          <w:lang w:val="en-US"/>
        </w:rPr>
        <w:tab/>
      </w:r>
      <w:r w:rsidR="001557BE" w:rsidRPr="00FB6E06">
        <w:rPr>
          <w:rFonts w:eastAsia="Times New Roman"/>
          <w:sz w:val="28"/>
          <w:szCs w:val="28"/>
          <w:lang w:val="en-US"/>
        </w:rPr>
        <w:t>In 2021, due to the revision of the Balance of Payments data of the Republic of Kazakhstan, the national wealth indicators for 2018–2019 were recalculated.</w:t>
      </w:r>
    </w:p>
    <w:p w:rsidR="002C3843" w:rsidRPr="00FB6E06" w:rsidRDefault="001557BE" w:rsidP="008C3D77">
      <w:pPr>
        <w:pStyle w:val="af2"/>
        <w:tabs>
          <w:tab w:val="left" w:pos="619"/>
        </w:tabs>
        <w:spacing w:line="276" w:lineRule="auto"/>
        <w:ind w:left="0"/>
        <w:rPr>
          <w:sz w:val="28"/>
          <w:szCs w:val="28"/>
          <w:lang w:val="en-US"/>
        </w:rPr>
      </w:pPr>
      <w:r w:rsidRPr="00FB6E06">
        <w:rPr>
          <w:sz w:val="28"/>
          <w:szCs w:val="28"/>
          <w:lang w:val="en-US"/>
        </w:rPr>
        <w:t xml:space="preserve">S.21 </w:t>
      </w:r>
      <w:proofErr w:type="gramStart"/>
      <w:r w:rsidRPr="00FB6E06">
        <w:rPr>
          <w:sz w:val="28"/>
          <w:szCs w:val="28"/>
          <w:lang w:val="en-US"/>
        </w:rPr>
        <w:t>Processing</w:t>
      </w:r>
      <w:proofErr w:type="gramEnd"/>
      <w:r w:rsidRPr="00FB6E06">
        <w:rPr>
          <w:sz w:val="28"/>
          <w:szCs w:val="28"/>
          <w:lang w:val="en-US"/>
        </w:rPr>
        <w:t xml:space="preserve"> of statistical data</w:t>
      </w:r>
    </w:p>
    <w:p w:rsidR="002C3843" w:rsidRPr="00FB6E06" w:rsidRDefault="001557BE" w:rsidP="008C3D77">
      <w:pPr>
        <w:pStyle w:val="af2"/>
        <w:spacing w:line="276" w:lineRule="auto"/>
        <w:ind w:left="0"/>
        <w:rPr>
          <w:sz w:val="28"/>
          <w:szCs w:val="28"/>
          <w:lang w:val="en-US"/>
        </w:rPr>
      </w:pPr>
      <w:r w:rsidRPr="00FB6E06">
        <w:rPr>
          <w:sz w:val="28"/>
          <w:szCs w:val="28"/>
          <w:lang w:val="en-US"/>
        </w:rPr>
        <w:t>S.21.1 Input data</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The following information sources are used for the compilation of national wealth indicators:</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1. Structural statistics data:</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Information on the availability and condition of fixed assets;</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Indicators of financial and economic activity of organizations;</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Data on the activities of microfinance and microcredit organizations.</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2. Departmental and administrative data:</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Reports on financial assets and liabilities of the banking sector (including the National Bank of the Republic of Kazakhstan and second-tier banks);</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Data on financial operations of other financial institutions (such as mortgage companies, the Development Bank of Kazakhstan, insurance organizations, and the Unified Accumulative Pension Fund);</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Information from the Balance of Payments and International Investment Position of the Republic of Kazakhstan;</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Data on the operations of the National Fund of the Republic of Kazakhstan;</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Reports on assets and liabilities of the State Social Insurance Fund;</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Reports on assets and liabilities of the Social Health Insurance Fund;</w:t>
      </w:r>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Materials from the statistical bulletin of the National Bank of the Republic of Kazakhstan.</w:t>
      </w:r>
    </w:p>
    <w:p w:rsidR="002C3843" w:rsidRPr="00FB6E06" w:rsidRDefault="001557BE" w:rsidP="008C3D77">
      <w:pPr>
        <w:pStyle w:val="af2"/>
        <w:spacing w:line="276" w:lineRule="auto"/>
        <w:ind w:left="0"/>
        <w:jc w:val="both"/>
        <w:rPr>
          <w:sz w:val="28"/>
          <w:szCs w:val="28"/>
          <w:lang w:val="en-US"/>
        </w:rPr>
      </w:pPr>
      <w:r w:rsidRPr="00FB6E06">
        <w:rPr>
          <w:sz w:val="28"/>
          <w:szCs w:val="28"/>
          <w:lang w:val="en-US"/>
        </w:rPr>
        <w:t>S.21.2 Survey frequency</w:t>
      </w:r>
    </w:p>
    <w:p w:rsidR="002C3843" w:rsidRPr="00FB6E06" w:rsidRDefault="001557BE" w:rsidP="008C3D77">
      <w:pPr>
        <w:pStyle w:val="af2"/>
        <w:spacing w:line="276" w:lineRule="auto"/>
        <w:ind w:left="0"/>
        <w:rPr>
          <w:sz w:val="28"/>
          <w:szCs w:val="28"/>
          <w:lang w:val="en-US"/>
        </w:rPr>
      </w:pPr>
      <w:r w:rsidRPr="00FB6E06">
        <w:rPr>
          <w:sz w:val="28"/>
          <w:szCs w:val="28"/>
          <w:lang w:val="en-US"/>
        </w:rPr>
        <w:t>Year</w:t>
      </w:r>
    </w:p>
    <w:p w:rsidR="002C3843" w:rsidRPr="00FB6E06" w:rsidRDefault="001557BE" w:rsidP="008C3D77">
      <w:pPr>
        <w:spacing w:line="276" w:lineRule="auto"/>
        <w:rPr>
          <w:sz w:val="28"/>
          <w:szCs w:val="28"/>
          <w:lang w:val="en-US"/>
        </w:rPr>
      </w:pPr>
      <w:r w:rsidRPr="00FB6E06">
        <w:rPr>
          <w:sz w:val="28"/>
          <w:szCs w:val="28"/>
          <w:lang w:val="en-US"/>
        </w:rPr>
        <w:t>S.21.3 Method (method) for collecting primary statistical data</w:t>
      </w:r>
    </w:p>
    <w:p w:rsidR="002C3843" w:rsidRPr="00FB6E06" w:rsidRDefault="001557BE" w:rsidP="008C3D77">
      <w:pPr>
        <w:pStyle w:val="af4"/>
        <w:spacing w:line="275" w:lineRule="auto"/>
        <w:ind w:right="-249"/>
        <w:jc w:val="both"/>
        <w:rPr>
          <w:rFonts w:eastAsia="Times New Roman"/>
          <w:sz w:val="28"/>
          <w:szCs w:val="28"/>
          <w:lang w:val="en-US"/>
        </w:rPr>
      </w:pPr>
      <w:r w:rsidRPr="00FB6E06">
        <w:rPr>
          <w:rFonts w:eastAsia="Times New Roman"/>
          <w:sz w:val="28"/>
          <w:szCs w:val="28"/>
          <w:lang w:val="en-US"/>
        </w:rPr>
        <w:t>National accounts are compiled by employees of the Department of National Accounts. The results of national statistical observations were received in the form of an Excel table from industry departments. Departmental and administrative data were obtained in the form of an Excel table within the framework of existing joint orders on the exchange of information with government agencies, according to official requests and from official websites of data sources.</w:t>
      </w:r>
    </w:p>
    <w:p w:rsidR="002C3843" w:rsidRPr="00FB6E06" w:rsidRDefault="001557BE" w:rsidP="008C3D77">
      <w:pPr>
        <w:pStyle w:val="af2"/>
        <w:spacing w:line="276" w:lineRule="auto"/>
        <w:ind w:left="0"/>
        <w:jc w:val="both"/>
        <w:rPr>
          <w:sz w:val="28"/>
          <w:szCs w:val="28"/>
          <w:lang w:val="en-US"/>
        </w:rPr>
      </w:pPr>
      <w:proofErr w:type="gramStart"/>
      <w:r w:rsidRPr="00FB6E06">
        <w:rPr>
          <w:sz w:val="28"/>
          <w:szCs w:val="28"/>
          <w:lang w:val="en-US"/>
        </w:rPr>
        <w:t>S.21.4 Reliability of primary statistical data.</w:t>
      </w:r>
      <w:proofErr w:type="gramEnd"/>
    </w:p>
    <w:p w:rsidR="002C3843" w:rsidRPr="00FB6E06" w:rsidRDefault="001557BE" w:rsidP="008C3D77">
      <w:pPr>
        <w:pStyle w:val="af2"/>
        <w:spacing w:line="276" w:lineRule="auto"/>
        <w:ind w:left="0"/>
        <w:jc w:val="both"/>
        <w:rPr>
          <w:rFonts w:eastAsia="Times New Roman"/>
          <w:sz w:val="28"/>
          <w:szCs w:val="28"/>
          <w:lang w:val="en-US"/>
        </w:rPr>
      </w:pPr>
      <w:r w:rsidRPr="00FB6E06">
        <w:rPr>
          <w:rFonts w:eastAsia="Times New Roman"/>
          <w:sz w:val="28"/>
          <w:szCs w:val="28"/>
          <w:lang w:val="en-US"/>
        </w:rPr>
        <w:t xml:space="preserve">In order to ensure the quality and reliability of primary statistical data, a comprehensive analysis is carried out on the information received from </w:t>
      </w:r>
      <w:proofErr w:type="spellStart"/>
      <w:r w:rsidRPr="00FB6E06">
        <w:rPr>
          <w:rFonts w:eastAsia="Times New Roman"/>
          <w:sz w:val="28"/>
          <w:szCs w:val="28"/>
          <w:lang w:val="en-US"/>
        </w:rPr>
        <w:t>sectoral</w:t>
      </w:r>
      <w:proofErr w:type="spellEnd"/>
      <w:r w:rsidRPr="00FB6E06">
        <w:rPr>
          <w:rFonts w:eastAsia="Times New Roman"/>
          <w:sz w:val="28"/>
          <w:szCs w:val="28"/>
          <w:lang w:val="en-US"/>
        </w:rPr>
        <w:t xml:space="preserve"> </w:t>
      </w:r>
      <w:r w:rsidRPr="00FB6E06">
        <w:rPr>
          <w:rFonts w:eastAsia="Times New Roman"/>
          <w:sz w:val="28"/>
          <w:szCs w:val="28"/>
          <w:lang w:val="en-US"/>
        </w:rPr>
        <w:lastRenderedPageBreak/>
        <w:t>statistics, as well as from departmental and administrative sources.</w:t>
      </w:r>
    </w:p>
    <w:p w:rsidR="002C3843" w:rsidRPr="00FB6E06" w:rsidRDefault="001557BE" w:rsidP="008C3D77">
      <w:pPr>
        <w:pStyle w:val="af2"/>
        <w:spacing w:line="276" w:lineRule="auto"/>
        <w:ind w:left="0" w:firstLine="720"/>
        <w:jc w:val="both"/>
        <w:rPr>
          <w:rFonts w:eastAsia="Times New Roman"/>
          <w:sz w:val="28"/>
          <w:szCs w:val="28"/>
          <w:lang w:val="en-US"/>
        </w:rPr>
      </w:pPr>
      <w:r w:rsidRPr="00FB6E06">
        <w:rPr>
          <w:rFonts w:eastAsia="Times New Roman"/>
          <w:sz w:val="28"/>
          <w:szCs w:val="28"/>
          <w:lang w:val="en-US"/>
        </w:rPr>
        <w:t>As part of the verification procedure, current data are compared with corresponding indicators from previous periods, which allows for the identification of deviations, the assessment of their validity, and, if necessary, the refinement of information before the final macroeconomic indicators are compiled.</w:t>
      </w:r>
    </w:p>
    <w:p w:rsidR="002C3843" w:rsidRPr="00FB6E06" w:rsidRDefault="001557BE" w:rsidP="008C3D77">
      <w:pPr>
        <w:pStyle w:val="af2"/>
        <w:spacing w:line="276" w:lineRule="auto"/>
        <w:ind w:left="0"/>
        <w:rPr>
          <w:sz w:val="28"/>
          <w:szCs w:val="28"/>
          <w:lang w:val="en-US"/>
        </w:rPr>
      </w:pPr>
      <w:r w:rsidRPr="00FB6E06">
        <w:rPr>
          <w:sz w:val="28"/>
          <w:szCs w:val="28"/>
          <w:lang w:val="en-US"/>
        </w:rPr>
        <w:t>S.21.5 Imputation - share /A7</w:t>
      </w:r>
    </w:p>
    <w:p w:rsidR="002C3843" w:rsidRPr="00FB6E06" w:rsidRDefault="001557BE" w:rsidP="008C3D77">
      <w:pPr>
        <w:pStyle w:val="af2"/>
        <w:spacing w:line="276" w:lineRule="auto"/>
        <w:ind w:left="0"/>
        <w:rPr>
          <w:sz w:val="28"/>
          <w:szCs w:val="28"/>
          <w:lang w:val="en-US"/>
        </w:rPr>
      </w:pPr>
      <w:r w:rsidRPr="00FB6E06">
        <w:rPr>
          <w:sz w:val="28"/>
          <w:szCs w:val="28"/>
          <w:lang w:val="en-US"/>
        </w:rPr>
        <w:t>Not applicable.</w:t>
      </w:r>
    </w:p>
    <w:p w:rsidR="002C3843" w:rsidRPr="00FB6E06" w:rsidRDefault="001557BE" w:rsidP="008C3D77">
      <w:pPr>
        <w:pStyle w:val="af2"/>
        <w:spacing w:line="276" w:lineRule="auto"/>
        <w:ind w:left="0"/>
        <w:rPr>
          <w:sz w:val="28"/>
          <w:szCs w:val="28"/>
          <w:lang w:val="en-US"/>
        </w:rPr>
      </w:pPr>
      <w:r w:rsidRPr="00FB6E06">
        <w:rPr>
          <w:sz w:val="28"/>
          <w:szCs w:val="28"/>
          <w:lang w:val="en-US"/>
        </w:rPr>
        <w:t>S.21.6 Adjustment</w:t>
      </w:r>
    </w:p>
    <w:p w:rsidR="002C3843" w:rsidRPr="00FB6E06" w:rsidRDefault="001557BE" w:rsidP="008C3D77">
      <w:pPr>
        <w:pStyle w:val="af2"/>
        <w:spacing w:line="276" w:lineRule="auto"/>
        <w:ind w:left="0"/>
        <w:rPr>
          <w:sz w:val="28"/>
          <w:szCs w:val="28"/>
          <w:lang w:val="en-US"/>
        </w:rPr>
      </w:pPr>
      <w:r w:rsidRPr="00FB6E06">
        <w:rPr>
          <w:sz w:val="28"/>
          <w:szCs w:val="28"/>
          <w:lang w:val="en-US"/>
        </w:rPr>
        <w:t>Not applicable.</w:t>
      </w:r>
    </w:p>
    <w:p w:rsidR="002C3843" w:rsidRPr="00FB6E06" w:rsidRDefault="001557BE" w:rsidP="008C3D77">
      <w:pPr>
        <w:pStyle w:val="af2"/>
        <w:spacing w:line="276" w:lineRule="auto"/>
        <w:ind w:left="0"/>
        <w:rPr>
          <w:sz w:val="28"/>
          <w:szCs w:val="28"/>
          <w:lang w:val="en-US"/>
        </w:rPr>
      </w:pPr>
      <w:r w:rsidRPr="00FB6E06">
        <w:rPr>
          <w:sz w:val="28"/>
          <w:szCs w:val="28"/>
          <w:lang w:val="en-US"/>
        </w:rPr>
        <w:t>S.21.6.1 Seasonal adjustment</w:t>
      </w:r>
    </w:p>
    <w:p w:rsidR="002C3843" w:rsidRPr="00FB6E06" w:rsidRDefault="001557BE" w:rsidP="008C3D77">
      <w:pPr>
        <w:pStyle w:val="af2"/>
        <w:spacing w:line="276" w:lineRule="auto"/>
        <w:ind w:left="0"/>
        <w:rPr>
          <w:sz w:val="28"/>
          <w:szCs w:val="28"/>
          <w:lang w:val="en-US"/>
        </w:rPr>
      </w:pPr>
      <w:r w:rsidRPr="00FB6E06">
        <w:rPr>
          <w:sz w:val="28"/>
          <w:szCs w:val="28"/>
          <w:lang w:val="en-US"/>
        </w:rPr>
        <w:t>Not applicable.</w:t>
      </w:r>
    </w:p>
    <w:p w:rsidR="002C3843" w:rsidRPr="00FB6E06" w:rsidRDefault="001557BE" w:rsidP="008C3D77">
      <w:pPr>
        <w:pStyle w:val="af2"/>
        <w:spacing w:line="276" w:lineRule="auto"/>
        <w:ind w:left="0"/>
        <w:rPr>
          <w:sz w:val="28"/>
          <w:szCs w:val="28"/>
          <w:lang w:val="en-US"/>
        </w:rPr>
      </w:pPr>
      <w:r w:rsidRPr="00FB6E06">
        <w:rPr>
          <w:sz w:val="28"/>
          <w:szCs w:val="28"/>
          <w:lang w:val="en-US"/>
        </w:rPr>
        <w:t>S.22 Notes</w:t>
      </w:r>
    </w:p>
    <w:p w:rsidR="002C3843" w:rsidRPr="00FB6E06" w:rsidRDefault="001557BE" w:rsidP="008C3D77">
      <w:pPr>
        <w:pStyle w:val="12"/>
        <w:shd w:val="clear" w:color="auto" w:fill="auto"/>
        <w:spacing w:line="276" w:lineRule="auto"/>
        <w:ind w:right="20"/>
        <w:jc w:val="both"/>
        <w:rPr>
          <w:sz w:val="28"/>
          <w:szCs w:val="28"/>
          <w:lang w:val="en-US"/>
        </w:rPr>
      </w:pPr>
      <w:r w:rsidRPr="00FB6E06">
        <w:rPr>
          <w:sz w:val="28"/>
          <w:szCs w:val="28"/>
          <w:lang w:val="en-US"/>
        </w:rPr>
        <w:t>Continue to work on ensuring the quality of statistical data.</w:t>
      </w:r>
    </w:p>
    <w:sectPr w:rsidR="002C3843" w:rsidRPr="00FB6E06" w:rsidSect="008C3D77">
      <w:footerReference w:type="default" r:id="rId17"/>
      <w:pgSz w:w="11900" w:h="16840"/>
      <w:pgMar w:top="567" w:right="567" w:bottom="567" w:left="1134" w:header="0" w:footer="193" w:gutter="0"/>
      <w:cols w:space="720" w:equalWidth="0">
        <w:col w:w="9653" w:space="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CA" w:rsidRDefault="009B76CA">
      <w:r>
        <w:separator/>
      </w:r>
    </w:p>
  </w:endnote>
  <w:endnote w:type="continuationSeparator" w:id="0">
    <w:p w:rsidR="009B76CA" w:rsidRDefault="009B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307523"/>
      <w:docPartObj>
        <w:docPartGallery w:val="Page Numbers (Bottom of Page)"/>
        <w:docPartUnique/>
      </w:docPartObj>
    </w:sdtPr>
    <w:sdtEndPr/>
    <w:sdtContent>
      <w:p w:rsidR="002C3843" w:rsidRDefault="001557BE">
        <w:pPr>
          <w:pStyle w:val="afc"/>
          <w:jc w:val="center"/>
        </w:pPr>
        <w:r>
          <w:fldChar w:fldCharType="begin"/>
        </w:r>
        <w:r>
          <w:instrText>PAGE   \* MERGEFORMAT</w:instrText>
        </w:r>
        <w:r>
          <w:fldChar w:fldCharType="separate"/>
        </w:r>
        <w:r w:rsidR="00FB6E06">
          <w:rPr>
            <w:noProof/>
          </w:rPr>
          <w:t>9</w:t>
        </w:r>
        <w:r>
          <w:fldChar w:fldCharType="end"/>
        </w:r>
      </w:p>
    </w:sdtContent>
  </w:sdt>
  <w:p w:rsidR="002C3843" w:rsidRDefault="002C3843">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CA" w:rsidRDefault="009B76CA">
      <w:r>
        <w:separator/>
      </w:r>
    </w:p>
  </w:footnote>
  <w:footnote w:type="continuationSeparator" w:id="0">
    <w:p w:rsidR="009B76CA" w:rsidRDefault="009B7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892"/>
    <w:multiLevelType w:val="multilevel"/>
    <w:tmpl w:val="2C80B0DE"/>
    <w:lvl w:ilvl="0">
      <w:start w:val="2010"/>
      <w:numFmt w:val="decimal"/>
      <w:lvlText w:val="%1"/>
      <w:lvlJc w:val="left"/>
      <w:pPr>
        <w:ind w:left="1044" w:hanging="1044"/>
      </w:pPr>
      <w:rPr>
        <w:rFonts w:cs="Times New Roman" w:hint="default"/>
      </w:rPr>
    </w:lvl>
    <w:lvl w:ilvl="1">
      <w:start w:val="2021"/>
      <w:numFmt w:val="decimal"/>
      <w:lvlText w:val="%1-%2"/>
      <w:lvlJc w:val="left"/>
      <w:pPr>
        <w:ind w:left="1754" w:hanging="1044"/>
      </w:pPr>
      <w:rPr>
        <w:rFonts w:cs="Times New Roman" w:hint="default"/>
      </w:rPr>
    </w:lvl>
    <w:lvl w:ilvl="2">
      <w:start w:val="1"/>
      <w:numFmt w:val="decimal"/>
      <w:lvlText w:val="%1-%2.%3"/>
      <w:lvlJc w:val="left"/>
      <w:pPr>
        <w:ind w:left="2416" w:hanging="1044"/>
      </w:pPr>
      <w:rPr>
        <w:rFonts w:cs="Times New Roman" w:hint="default"/>
      </w:rPr>
    </w:lvl>
    <w:lvl w:ilvl="3">
      <w:start w:val="1"/>
      <w:numFmt w:val="decimal"/>
      <w:lvlText w:val="%1-%2.%3.%4"/>
      <w:lvlJc w:val="left"/>
      <w:pPr>
        <w:ind w:left="3102" w:hanging="1044"/>
      </w:pPr>
      <w:rPr>
        <w:rFonts w:cs="Times New Roman" w:hint="default"/>
      </w:rPr>
    </w:lvl>
    <w:lvl w:ilvl="4">
      <w:start w:val="1"/>
      <w:numFmt w:val="decimal"/>
      <w:lvlText w:val="%1-%2.%3.%4.%5"/>
      <w:lvlJc w:val="left"/>
      <w:pPr>
        <w:ind w:left="3824" w:hanging="1080"/>
      </w:pPr>
      <w:rPr>
        <w:rFonts w:cs="Times New Roman" w:hint="default"/>
      </w:rPr>
    </w:lvl>
    <w:lvl w:ilvl="5">
      <w:start w:val="1"/>
      <w:numFmt w:val="decimal"/>
      <w:lvlText w:val="%1-%2.%3.%4.%5.%6"/>
      <w:lvlJc w:val="left"/>
      <w:pPr>
        <w:ind w:left="4510" w:hanging="1080"/>
      </w:pPr>
      <w:rPr>
        <w:rFonts w:cs="Times New Roman" w:hint="default"/>
      </w:rPr>
    </w:lvl>
    <w:lvl w:ilvl="6">
      <w:start w:val="1"/>
      <w:numFmt w:val="decimal"/>
      <w:lvlText w:val="%1-%2.%3.%4.%5.%6.%7"/>
      <w:lvlJc w:val="left"/>
      <w:pPr>
        <w:ind w:left="5556" w:hanging="1440"/>
      </w:pPr>
      <w:rPr>
        <w:rFonts w:cs="Times New Roman" w:hint="default"/>
      </w:rPr>
    </w:lvl>
    <w:lvl w:ilvl="7">
      <w:start w:val="1"/>
      <w:numFmt w:val="decimal"/>
      <w:lvlText w:val="%1-%2.%3.%4.%5.%6.%7.%8"/>
      <w:lvlJc w:val="left"/>
      <w:pPr>
        <w:ind w:left="6242" w:hanging="1440"/>
      </w:pPr>
      <w:rPr>
        <w:rFonts w:cs="Times New Roman" w:hint="default"/>
      </w:rPr>
    </w:lvl>
    <w:lvl w:ilvl="8">
      <w:start w:val="1"/>
      <w:numFmt w:val="decimal"/>
      <w:lvlText w:val="%1-%2.%3.%4.%5.%6.%7.%8.%9"/>
      <w:lvlJc w:val="left"/>
      <w:pPr>
        <w:ind w:left="7288" w:hanging="1800"/>
      </w:pPr>
      <w:rPr>
        <w:rFonts w:cs="Times New Roman" w:hint="default"/>
      </w:rPr>
    </w:lvl>
  </w:abstractNum>
  <w:abstractNum w:abstractNumId="1">
    <w:nsid w:val="028F4E31"/>
    <w:multiLevelType w:val="multilevel"/>
    <w:tmpl w:val="A3FA3FF2"/>
    <w:lvl w:ilvl="0">
      <w:start w:val="19"/>
      <w:numFmt w:val="upperLetter"/>
      <w:lvlText w:val="%1"/>
      <w:lvlJc w:val="left"/>
      <w:pPr>
        <w:ind w:hanging="854"/>
      </w:pPr>
      <w:rPr>
        <w:rFonts w:cs="Times New Roman"/>
      </w:rPr>
    </w:lvl>
    <w:lvl w:ilvl="1">
      <w:start w:val="15"/>
      <w:numFmt w:val="decimal"/>
      <w:lvlText w:val="%1.%2"/>
      <w:lvlJc w:val="left"/>
      <w:pPr>
        <w:ind w:hanging="854"/>
      </w:pPr>
      <w:rPr>
        <w:rFonts w:cs="Times New Roman"/>
      </w:rPr>
    </w:lvl>
    <w:lvl w:ilvl="2">
      <w:start w:val="3"/>
      <w:numFmt w:val="decimal"/>
      <w:lvlText w:val="%1.%2.%3"/>
      <w:lvlJc w:val="left"/>
      <w:pPr>
        <w:ind w:hanging="854"/>
      </w:pPr>
      <w:rPr>
        <w:rFonts w:cs="Times New Roman"/>
      </w:rPr>
    </w:lvl>
    <w:lvl w:ilvl="3">
      <w:start w:val="3"/>
      <w:numFmt w:val="decimal"/>
      <w:lvlText w:val="%1.%2.%3.%4"/>
      <w:lvlJc w:val="left"/>
      <w:pPr>
        <w:ind w:hanging="854"/>
      </w:pPr>
      <w:rPr>
        <w:rFonts w:ascii="Times New Roman" w:hAnsi="Times New Roman" w:cs="Times New Roman"/>
        <w:b w:val="0"/>
        <w:bCs w:val="0"/>
        <w:sz w:val="28"/>
        <w:szCs w:val="28"/>
      </w:rPr>
    </w:lvl>
    <w:lvl w:ilvl="4">
      <w:start w:val="1"/>
      <w:numFmt w:val="decimal"/>
      <w:lvlText w:val="%1.%2.%3.%4.%5"/>
      <w:lvlJc w:val="left"/>
      <w:pPr>
        <w:ind w:hanging="1034"/>
      </w:pPr>
      <w:rPr>
        <w:rFonts w:ascii="Times New Roman" w:hAnsi="Times New Roman" w:cs="Times New Roman"/>
        <w:b w:val="0"/>
        <w:bCs w:val="0"/>
        <w:sz w:val="28"/>
        <w:szCs w:val="28"/>
      </w:rPr>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40569DF"/>
    <w:multiLevelType w:val="multilevel"/>
    <w:tmpl w:val="A9E2BD14"/>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D953F47"/>
    <w:multiLevelType w:val="hybridMultilevel"/>
    <w:tmpl w:val="7DBACB24"/>
    <w:lvl w:ilvl="0" w:tplc="D4CC1DB6">
      <w:start w:val="1"/>
      <w:numFmt w:val="decimal"/>
      <w:lvlText w:val="%1."/>
      <w:lvlJc w:val="left"/>
      <w:pPr>
        <w:ind w:left="825" w:hanging="360"/>
      </w:pPr>
      <w:rPr>
        <w:rFonts w:cs="Times New Roman"/>
      </w:rPr>
    </w:lvl>
    <w:lvl w:ilvl="1" w:tplc="1156806C">
      <w:start w:val="1"/>
      <w:numFmt w:val="lowerLetter"/>
      <w:lvlText w:val="%2."/>
      <w:lvlJc w:val="left"/>
      <w:pPr>
        <w:ind w:left="1545" w:hanging="360"/>
      </w:pPr>
      <w:rPr>
        <w:rFonts w:cs="Times New Roman"/>
      </w:rPr>
    </w:lvl>
    <w:lvl w:ilvl="2" w:tplc="2B583DBE">
      <w:start w:val="1"/>
      <w:numFmt w:val="lowerRoman"/>
      <w:lvlText w:val="%3."/>
      <w:lvlJc w:val="right"/>
      <w:pPr>
        <w:ind w:left="2265" w:hanging="180"/>
      </w:pPr>
      <w:rPr>
        <w:rFonts w:cs="Times New Roman"/>
      </w:rPr>
    </w:lvl>
    <w:lvl w:ilvl="3" w:tplc="2A2088A0">
      <w:start w:val="1"/>
      <w:numFmt w:val="decimal"/>
      <w:lvlText w:val="%4."/>
      <w:lvlJc w:val="left"/>
      <w:pPr>
        <w:ind w:left="2985" w:hanging="360"/>
      </w:pPr>
      <w:rPr>
        <w:rFonts w:cs="Times New Roman"/>
      </w:rPr>
    </w:lvl>
    <w:lvl w:ilvl="4" w:tplc="EFC28274">
      <w:start w:val="1"/>
      <w:numFmt w:val="lowerLetter"/>
      <w:lvlText w:val="%5."/>
      <w:lvlJc w:val="left"/>
      <w:pPr>
        <w:ind w:left="3705" w:hanging="360"/>
      </w:pPr>
      <w:rPr>
        <w:rFonts w:cs="Times New Roman"/>
      </w:rPr>
    </w:lvl>
    <w:lvl w:ilvl="5" w:tplc="285242FE">
      <w:start w:val="1"/>
      <w:numFmt w:val="lowerRoman"/>
      <w:lvlText w:val="%6."/>
      <w:lvlJc w:val="right"/>
      <w:pPr>
        <w:ind w:left="4425" w:hanging="180"/>
      </w:pPr>
      <w:rPr>
        <w:rFonts w:cs="Times New Roman"/>
      </w:rPr>
    </w:lvl>
    <w:lvl w:ilvl="6" w:tplc="7B3410A4">
      <w:start w:val="1"/>
      <w:numFmt w:val="decimal"/>
      <w:lvlText w:val="%7."/>
      <w:lvlJc w:val="left"/>
      <w:pPr>
        <w:ind w:left="5145" w:hanging="360"/>
      </w:pPr>
      <w:rPr>
        <w:rFonts w:cs="Times New Roman"/>
      </w:rPr>
    </w:lvl>
    <w:lvl w:ilvl="7" w:tplc="E216149C">
      <w:start w:val="1"/>
      <w:numFmt w:val="lowerLetter"/>
      <w:lvlText w:val="%8."/>
      <w:lvlJc w:val="left"/>
      <w:pPr>
        <w:ind w:left="5865" w:hanging="360"/>
      </w:pPr>
      <w:rPr>
        <w:rFonts w:cs="Times New Roman"/>
      </w:rPr>
    </w:lvl>
    <w:lvl w:ilvl="8" w:tplc="F7B454A8">
      <w:start w:val="1"/>
      <w:numFmt w:val="lowerRoman"/>
      <w:lvlText w:val="%9."/>
      <w:lvlJc w:val="right"/>
      <w:pPr>
        <w:ind w:left="6585" w:hanging="180"/>
      </w:pPr>
      <w:rPr>
        <w:rFonts w:cs="Times New Roman"/>
      </w:rPr>
    </w:lvl>
  </w:abstractNum>
  <w:abstractNum w:abstractNumId="4">
    <w:nsid w:val="0D9B287F"/>
    <w:multiLevelType w:val="multilevel"/>
    <w:tmpl w:val="360E0F2C"/>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DAB0052"/>
    <w:multiLevelType w:val="multilevel"/>
    <w:tmpl w:val="4CBC5FEA"/>
    <w:lvl w:ilvl="0">
      <w:start w:val="19"/>
      <w:numFmt w:val="upperLetter"/>
      <w:lvlText w:val="%1"/>
      <w:lvlJc w:val="left"/>
      <w:pPr>
        <w:ind w:hanging="494"/>
      </w:pPr>
      <w:rPr>
        <w:rFonts w:cs="Times New Roman"/>
      </w:rPr>
    </w:lvl>
    <w:lvl w:ilvl="1">
      <w:start w:val="14"/>
      <w:numFmt w:val="decimal"/>
      <w:lvlText w:val="%1.%2"/>
      <w:lvlJc w:val="left"/>
      <w:pPr>
        <w:ind w:hanging="494"/>
      </w:pPr>
      <w:rPr>
        <w:rFonts w:ascii="Times New Roman" w:hAnsi="Times New Roman" w:cs="Times New Roman"/>
        <w:b w:val="0"/>
        <w:bCs w:val="0"/>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E30767E"/>
    <w:multiLevelType w:val="multilevel"/>
    <w:tmpl w:val="F6FE15E2"/>
    <w:lvl w:ilvl="0">
      <w:start w:val="19"/>
      <w:numFmt w:val="upperLetter"/>
      <w:lvlText w:val="%1"/>
      <w:lvlJc w:val="left"/>
      <w:pPr>
        <w:ind w:hanging="494"/>
      </w:pPr>
      <w:rPr>
        <w:rFonts w:cs="Times New Roman"/>
      </w:rPr>
    </w:lvl>
    <w:lvl w:ilvl="1">
      <w:start w:val="13"/>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10DB5428"/>
    <w:multiLevelType w:val="multilevel"/>
    <w:tmpl w:val="E2903952"/>
    <w:lvl w:ilvl="0">
      <w:start w:val="19"/>
      <w:numFmt w:val="upperLetter"/>
      <w:lvlText w:val="%1"/>
      <w:lvlJc w:val="left"/>
      <w:pPr>
        <w:ind w:hanging="494"/>
      </w:pPr>
      <w:rPr>
        <w:rFonts w:cs="Times New Roman"/>
      </w:rPr>
    </w:lvl>
    <w:lvl w:ilvl="1">
      <w:start w:val="17"/>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14844AAC"/>
    <w:multiLevelType w:val="multilevel"/>
    <w:tmpl w:val="60ECCA94"/>
    <w:lvl w:ilvl="0">
      <w:start w:val="19"/>
      <w:numFmt w:val="upperLetter"/>
      <w:lvlText w:val="%1"/>
      <w:lvlJc w:val="left"/>
      <w:pPr>
        <w:ind w:hanging="494"/>
      </w:pPr>
      <w:rPr>
        <w:rFonts w:cs="Times New Roman"/>
      </w:rPr>
    </w:lvl>
    <w:lvl w:ilvl="1">
      <w:start w:val="12"/>
      <w:numFmt w:val="decimal"/>
      <w:lvlText w:val="%1.%2"/>
      <w:lvlJc w:val="left"/>
      <w:pPr>
        <w:ind w:hanging="494"/>
      </w:pPr>
      <w:rPr>
        <w:rFonts w:ascii="Times New Roman" w:hAnsi="Times New Roman" w:cs="Times New Roman"/>
        <w:b w:val="0"/>
        <w:bCs w:val="0"/>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4."/>
      <w:lvlJc w:val="left"/>
      <w:pPr>
        <w:ind w:hanging="263"/>
      </w:pPr>
      <w:rPr>
        <w:rFonts w:ascii="Times New Roman" w:hAnsi="Times New Roman" w:cs="Times New Roman"/>
        <w:b w:val="0"/>
        <w:bCs w:val="0"/>
        <w:spacing w:val="4"/>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16C23E33"/>
    <w:multiLevelType w:val="hybridMultilevel"/>
    <w:tmpl w:val="CA62BF36"/>
    <w:lvl w:ilvl="0" w:tplc="0C58DEF0">
      <w:start w:val="2"/>
      <w:numFmt w:val="decimal"/>
      <w:lvlText w:val="%1)"/>
      <w:lvlJc w:val="left"/>
      <w:pPr>
        <w:ind w:hanging="329"/>
      </w:pPr>
      <w:rPr>
        <w:rFonts w:ascii="Times New Roman" w:hAnsi="Times New Roman" w:cs="Times New Roman"/>
        <w:b w:val="0"/>
        <w:bCs w:val="0"/>
        <w:spacing w:val="12"/>
        <w:sz w:val="24"/>
        <w:szCs w:val="24"/>
      </w:rPr>
    </w:lvl>
    <w:lvl w:ilvl="1" w:tplc="1F44CE50">
      <w:start w:val="1"/>
      <w:numFmt w:val="bullet"/>
      <w:lvlText w:val="•"/>
      <w:lvlJc w:val="left"/>
    </w:lvl>
    <w:lvl w:ilvl="2" w:tplc="8E721E02">
      <w:start w:val="1"/>
      <w:numFmt w:val="bullet"/>
      <w:lvlText w:val="•"/>
      <w:lvlJc w:val="left"/>
    </w:lvl>
    <w:lvl w:ilvl="3" w:tplc="741A642C">
      <w:start w:val="1"/>
      <w:numFmt w:val="bullet"/>
      <w:lvlText w:val="•"/>
      <w:lvlJc w:val="left"/>
    </w:lvl>
    <w:lvl w:ilvl="4" w:tplc="8604D5AE">
      <w:start w:val="1"/>
      <w:numFmt w:val="bullet"/>
      <w:lvlText w:val="•"/>
      <w:lvlJc w:val="left"/>
    </w:lvl>
    <w:lvl w:ilvl="5" w:tplc="0DFE0A5E">
      <w:start w:val="1"/>
      <w:numFmt w:val="bullet"/>
      <w:lvlText w:val="•"/>
      <w:lvlJc w:val="left"/>
    </w:lvl>
    <w:lvl w:ilvl="6" w:tplc="3C4229C8">
      <w:start w:val="1"/>
      <w:numFmt w:val="bullet"/>
      <w:lvlText w:val="•"/>
      <w:lvlJc w:val="left"/>
    </w:lvl>
    <w:lvl w:ilvl="7" w:tplc="6C18763C">
      <w:start w:val="1"/>
      <w:numFmt w:val="bullet"/>
      <w:lvlText w:val="•"/>
      <w:lvlJc w:val="left"/>
    </w:lvl>
    <w:lvl w:ilvl="8" w:tplc="713694F4">
      <w:start w:val="1"/>
      <w:numFmt w:val="bullet"/>
      <w:lvlText w:val="•"/>
      <w:lvlJc w:val="left"/>
    </w:lvl>
  </w:abstractNum>
  <w:abstractNum w:abstractNumId="10">
    <w:nsid w:val="1D0B63B5"/>
    <w:multiLevelType w:val="multilevel"/>
    <w:tmpl w:val="35403530"/>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22457125"/>
    <w:multiLevelType w:val="multilevel"/>
    <w:tmpl w:val="CCE402FA"/>
    <w:lvl w:ilvl="0">
      <w:start w:val="19"/>
      <w:numFmt w:val="upperLetter"/>
      <w:lvlText w:val="%1"/>
      <w:lvlJc w:val="left"/>
      <w:pPr>
        <w:ind w:hanging="374"/>
      </w:pPr>
      <w:rPr>
        <w:rFonts w:cs="Times New Roman"/>
      </w:rPr>
    </w:lvl>
    <w:lvl w:ilvl="1">
      <w:start w:val="5"/>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decimal"/>
      <w:lvlText w:val="%4."/>
      <w:lvlJc w:val="left"/>
      <w:pPr>
        <w:ind w:hanging="293"/>
      </w:pPr>
      <w:rPr>
        <w:rFonts w:ascii="Times New Roman" w:hAnsi="Times New Roman" w:cs="Times New Roman"/>
        <w:b w:val="0"/>
        <w:bCs w:val="0"/>
        <w:spacing w:val="9"/>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29E15C70"/>
    <w:multiLevelType w:val="hybridMultilevel"/>
    <w:tmpl w:val="D9960D30"/>
    <w:lvl w:ilvl="0" w:tplc="6C0EDAF0">
      <w:start w:val="1"/>
      <w:numFmt w:val="decimal"/>
      <w:lvlText w:val="%1."/>
      <w:lvlJc w:val="left"/>
      <w:pPr>
        <w:ind w:left="753" w:hanging="360"/>
      </w:pPr>
      <w:rPr>
        <w:rFonts w:hint="default"/>
      </w:rPr>
    </w:lvl>
    <w:lvl w:ilvl="1" w:tplc="C6B46678">
      <w:start w:val="1"/>
      <w:numFmt w:val="lowerLetter"/>
      <w:lvlText w:val="%2."/>
      <w:lvlJc w:val="left"/>
      <w:pPr>
        <w:ind w:left="1473" w:hanging="360"/>
      </w:pPr>
    </w:lvl>
    <w:lvl w:ilvl="2" w:tplc="770A44C8">
      <w:start w:val="1"/>
      <w:numFmt w:val="lowerRoman"/>
      <w:lvlText w:val="%3."/>
      <w:lvlJc w:val="right"/>
      <w:pPr>
        <w:ind w:left="2193" w:hanging="180"/>
      </w:pPr>
    </w:lvl>
    <w:lvl w:ilvl="3" w:tplc="1458BC76">
      <w:start w:val="1"/>
      <w:numFmt w:val="decimal"/>
      <w:lvlText w:val="%4."/>
      <w:lvlJc w:val="left"/>
      <w:pPr>
        <w:ind w:left="2913" w:hanging="360"/>
      </w:pPr>
    </w:lvl>
    <w:lvl w:ilvl="4" w:tplc="78746AAE">
      <w:start w:val="1"/>
      <w:numFmt w:val="lowerLetter"/>
      <w:lvlText w:val="%5."/>
      <w:lvlJc w:val="left"/>
      <w:pPr>
        <w:ind w:left="3633" w:hanging="360"/>
      </w:pPr>
    </w:lvl>
    <w:lvl w:ilvl="5" w:tplc="09ECECBC">
      <w:start w:val="1"/>
      <w:numFmt w:val="lowerRoman"/>
      <w:lvlText w:val="%6."/>
      <w:lvlJc w:val="right"/>
      <w:pPr>
        <w:ind w:left="4353" w:hanging="180"/>
      </w:pPr>
    </w:lvl>
    <w:lvl w:ilvl="6" w:tplc="77AC70B2">
      <w:start w:val="1"/>
      <w:numFmt w:val="decimal"/>
      <w:lvlText w:val="%7."/>
      <w:lvlJc w:val="left"/>
      <w:pPr>
        <w:ind w:left="5073" w:hanging="360"/>
      </w:pPr>
    </w:lvl>
    <w:lvl w:ilvl="7" w:tplc="F30236EC">
      <w:start w:val="1"/>
      <w:numFmt w:val="lowerLetter"/>
      <w:lvlText w:val="%8."/>
      <w:lvlJc w:val="left"/>
      <w:pPr>
        <w:ind w:left="5793" w:hanging="360"/>
      </w:pPr>
    </w:lvl>
    <w:lvl w:ilvl="8" w:tplc="44D06CF0">
      <w:start w:val="1"/>
      <w:numFmt w:val="lowerRoman"/>
      <w:lvlText w:val="%9."/>
      <w:lvlJc w:val="right"/>
      <w:pPr>
        <w:ind w:left="6513" w:hanging="180"/>
      </w:pPr>
    </w:lvl>
  </w:abstractNum>
  <w:abstractNum w:abstractNumId="13">
    <w:nsid w:val="2EC733E1"/>
    <w:multiLevelType w:val="multilevel"/>
    <w:tmpl w:val="907082AA"/>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32C159F9"/>
    <w:multiLevelType w:val="multilevel"/>
    <w:tmpl w:val="7CE6FEC6"/>
    <w:lvl w:ilvl="0">
      <w:start w:val="19"/>
      <w:numFmt w:val="upperLetter"/>
      <w:lvlText w:val="%1"/>
      <w:lvlJc w:val="left"/>
      <w:pPr>
        <w:ind w:hanging="374"/>
      </w:pPr>
      <w:rPr>
        <w:rFonts w:cs="Times New Roman"/>
      </w:rPr>
    </w:lvl>
    <w:lvl w:ilvl="1">
      <w:start w:val="1"/>
      <w:numFmt w:val="decimal"/>
      <w:lvlText w:val="%1.%2"/>
      <w:lvlJc w:val="left"/>
      <w:pPr>
        <w:ind w:hanging="374"/>
      </w:pPr>
      <w:rPr>
        <w:rFonts w:ascii="Times New Roman" w:hAnsi="Times New Roman" w:cs="Times New Roman"/>
        <w:b w:val="0"/>
        <w:bCs w:val="0"/>
        <w:sz w:val="24"/>
        <w:szCs w:val="24"/>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34D57B98"/>
    <w:multiLevelType w:val="hybridMultilevel"/>
    <w:tmpl w:val="B1547018"/>
    <w:lvl w:ilvl="0" w:tplc="CD88743C">
      <w:start w:val="1"/>
      <w:numFmt w:val="decimal"/>
      <w:lvlText w:val="%1."/>
      <w:lvlJc w:val="left"/>
      <w:rPr>
        <w:sz w:val="28"/>
        <w:szCs w:val="28"/>
      </w:rPr>
    </w:lvl>
    <w:lvl w:ilvl="1" w:tplc="ABA21A74">
      <w:start w:val="1"/>
      <w:numFmt w:val="decimal"/>
      <w:lvlText w:val=""/>
      <w:lvlJc w:val="left"/>
    </w:lvl>
    <w:lvl w:ilvl="2" w:tplc="2ACC3580">
      <w:start w:val="1"/>
      <w:numFmt w:val="decimal"/>
      <w:lvlText w:val=""/>
      <w:lvlJc w:val="left"/>
    </w:lvl>
    <w:lvl w:ilvl="3" w:tplc="F57EA4EC">
      <w:start w:val="1"/>
      <w:numFmt w:val="decimal"/>
      <w:lvlText w:val=""/>
      <w:lvlJc w:val="left"/>
    </w:lvl>
    <w:lvl w:ilvl="4" w:tplc="65EC6D10">
      <w:start w:val="1"/>
      <w:numFmt w:val="decimal"/>
      <w:lvlText w:val=""/>
      <w:lvlJc w:val="left"/>
    </w:lvl>
    <w:lvl w:ilvl="5" w:tplc="92BE0418">
      <w:start w:val="1"/>
      <w:numFmt w:val="decimal"/>
      <w:lvlText w:val=""/>
      <w:lvlJc w:val="left"/>
    </w:lvl>
    <w:lvl w:ilvl="6" w:tplc="6714C858">
      <w:start w:val="1"/>
      <w:numFmt w:val="decimal"/>
      <w:lvlText w:val=""/>
      <w:lvlJc w:val="left"/>
    </w:lvl>
    <w:lvl w:ilvl="7" w:tplc="50C277FE">
      <w:start w:val="1"/>
      <w:numFmt w:val="decimal"/>
      <w:lvlText w:val=""/>
      <w:lvlJc w:val="left"/>
    </w:lvl>
    <w:lvl w:ilvl="8" w:tplc="B5EEFDE0">
      <w:start w:val="1"/>
      <w:numFmt w:val="decimal"/>
      <w:lvlText w:val=""/>
      <w:lvlJc w:val="left"/>
    </w:lvl>
  </w:abstractNum>
  <w:abstractNum w:abstractNumId="16">
    <w:nsid w:val="3A255539"/>
    <w:multiLevelType w:val="multilevel"/>
    <w:tmpl w:val="EA22E088"/>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decimal"/>
      <w:lvlText w:val="%4."/>
      <w:lvlJc w:val="left"/>
      <w:rPr>
        <w:rFonts w:ascii="Times New Roman" w:eastAsiaTheme="minorEastAsia" w:hAnsi="Times New Roman" w:cs="Times New Roman"/>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3CDB5D28"/>
    <w:multiLevelType w:val="multilevel"/>
    <w:tmpl w:val="4AB46C78"/>
    <w:lvl w:ilvl="0">
      <w:start w:val="19"/>
      <w:numFmt w:val="upperLetter"/>
      <w:lvlText w:val="%1"/>
      <w:lvlJc w:val="left"/>
      <w:pPr>
        <w:ind w:hanging="674"/>
      </w:pPr>
      <w:rPr>
        <w:rFonts w:cs="Times New Roman"/>
      </w:rPr>
    </w:lvl>
    <w:lvl w:ilvl="1">
      <w:start w:val="21"/>
      <w:numFmt w:val="decimal"/>
      <w:lvlText w:val="%1.%2"/>
      <w:lvlJc w:val="left"/>
      <w:pPr>
        <w:ind w:hanging="674"/>
      </w:pPr>
      <w:rPr>
        <w:rFonts w:cs="Times New Roman"/>
      </w:rPr>
    </w:lvl>
    <w:lvl w:ilvl="2">
      <w:start w:val="2"/>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3EB441BD"/>
    <w:multiLevelType w:val="hybridMultilevel"/>
    <w:tmpl w:val="667E44A8"/>
    <w:lvl w:ilvl="0" w:tplc="3ECA5B90">
      <w:start w:val="1"/>
      <w:numFmt w:val="decimal"/>
      <w:lvlText w:val="%1"/>
      <w:lvlJc w:val="left"/>
      <w:pPr>
        <w:ind w:hanging="127"/>
      </w:pPr>
      <w:rPr>
        <w:rFonts w:ascii="Times New Roman" w:hAnsi="Times New Roman" w:cs="Times New Roman"/>
        <w:b w:val="0"/>
        <w:bCs w:val="0"/>
        <w:spacing w:val="6"/>
        <w:sz w:val="24"/>
        <w:szCs w:val="24"/>
      </w:rPr>
    </w:lvl>
    <w:lvl w:ilvl="1" w:tplc="FAB8222A">
      <w:start w:val="1"/>
      <w:numFmt w:val="bullet"/>
      <w:lvlText w:val="•"/>
      <w:lvlJc w:val="left"/>
    </w:lvl>
    <w:lvl w:ilvl="2" w:tplc="FA44C040">
      <w:start w:val="1"/>
      <w:numFmt w:val="bullet"/>
      <w:lvlText w:val="•"/>
      <w:lvlJc w:val="left"/>
    </w:lvl>
    <w:lvl w:ilvl="3" w:tplc="DC3ED6B6">
      <w:start w:val="1"/>
      <w:numFmt w:val="bullet"/>
      <w:lvlText w:val="•"/>
      <w:lvlJc w:val="left"/>
    </w:lvl>
    <w:lvl w:ilvl="4" w:tplc="9092B446">
      <w:start w:val="1"/>
      <w:numFmt w:val="bullet"/>
      <w:lvlText w:val="•"/>
      <w:lvlJc w:val="left"/>
    </w:lvl>
    <w:lvl w:ilvl="5" w:tplc="608A21BA">
      <w:start w:val="1"/>
      <w:numFmt w:val="bullet"/>
      <w:lvlText w:val="•"/>
      <w:lvlJc w:val="left"/>
    </w:lvl>
    <w:lvl w:ilvl="6" w:tplc="4904AD1C">
      <w:start w:val="1"/>
      <w:numFmt w:val="bullet"/>
      <w:lvlText w:val="•"/>
      <w:lvlJc w:val="left"/>
    </w:lvl>
    <w:lvl w:ilvl="7" w:tplc="8BDC0F12">
      <w:start w:val="1"/>
      <w:numFmt w:val="bullet"/>
      <w:lvlText w:val="•"/>
      <w:lvlJc w:val="left"/>
    </w:lvl>
    <w:lvl w:ilvl="8" w:tplc="7E8AEA68">
      <w:start w:val="1"/>
      <w:numFmt w:val="bullet"/>
      <w:lvlText w:val="•"/>
      <w:lvlJc w:val="left"/>
    </w:lvl>
  </w:abstractNum>
  <w:abstractNum w:abstractNumId="19">
    <w:nsid w:val="3ECF46BC"/>
    <w:multiLevelType w:val="hybridMultilevel"/>
    <w:tmpl w:val="C0D6583E"/>
    <w:lvl w:ilvl="0" w:tplc="93D85DF8">
      <w:start w:val="1"/>
      <w:numFmt w:val="decimal"/>
      <w:lvlText w:val="%1)"/>
      <w:lvlJc w:val="left"/>
      <w:pPr>
        <w:ind w:left="1046" w:hanging="360"/>
      </w:pPr>
      <w:rPr>
        <w:rFonts w:cs="Times New Roman" w:hint="default"/>
      </w:rPr>
    </w:lvl>
    <w:lvl w:ilvl="1" w:tplc="81ECBA28">
      <w:start w:val="1"/>
      <w:numFmt w:val="lowerLetter"/>
      <w:lvlText w:val="%2."/>
      <w:lvlJc w:val="left"/>
      <w:pPr>
        <w:ind w:left="1766" w:hanging="360"/>
      </w:pPr>
      <w:rPr>
        <w:rFonts w:cs="Times New Roman"/>
      </w:rPr>
    </w:lvl>
    <w:lvl w:ilvl="2" w:tplc="49C80F8C">
      <w:start w:val="1"/>
      <w:numFmt w:val="lowerRoman"/>
      <w:lvlText w:val="%3."/>
      <w:lvlJc w:val="right"/>
      <w:pPr>
        <w:ind w:left="2486" w:hanging="180"/>
      </w:pPr>
      <w:rPr>
        <w:rFonts w:cs="Times New Roman"/>
      </w:rPr>
    </w:lvl>
    <w:lvl w:ilvl="3" w:tplc="E8349E0A">
      <w:start w:val="1"/>
      <w:numFmt w:val="decimal"/>
      <w:lvlText w:val="%4."/>
      <w:lvlJc w:val="left"/>
      <w:pPr>
        <w:ind w:left="3206" w:hanging="360"/>
      </w:pPr>
      <w:rPr>
        <w:rFonts w:cs="Times New Roman"/>
      </w:rPr>
    </w:lvl>
    <w:lvl w:ilvl="4" w:tplc="8F3A4034">
      <w:start w:val="1"/>
      <w:numFmt w:val="lowerLetter"/>
      <w:lvlText w:val="%5."/>
      <w:lvlJc w:val="left"/>
      <w:pPr>
        <w:ind w:left="3926" w:hanging="360"/>
      </w:pPr>
      <w:rPr>
        <w:rFonts w:cs="Times New Roman"/>
      </w:rPr>
    </w:lvl>
    <w:lvl w:ilvl="5" w:tplc="883E3FCA">
      <w:start w:val="1"/>
      <w:numFmt w:val="lowerRoman"/>
      <w:lvlText w:val="%6."/>
      <w:lvlJc w:val="right"/>
      <w:pPr>
        <w:ind w:left="4646" w:hanging="180"/>
      </w:pPr>
      <w:rPr>
        <w:rFonts w:cs="Times New Roman"/>
      </w:rPr>
    </w:lvl>
    <w:lvl w:ilvl="6" w:tplc="7766E054">
      <w:start w:val="1"/>
      <w:numFmt w:val="decimal"/>
      <w:lvlText w:val="%7."/>
      <w:lvlJc w:val="left"/>
      <w:pPr>
        <w:ind w:left="5366" w:hanging="360"/>
      </w:pPr>
      <w:rPr>
        <w:rFonts w:cs="Times New Roman"/>
      </w:rPr>
    </w:lvl>
    <w:lvl w:ilvl="7" w:tplc="7D8E1CB2">
      <w:start w:val="1"/>
      <w:numFmt w:val="lowerLetter"/>
      <w:lvlText w:val="%8."/>
      <w:lvlJc w:val="left"/>
      <w:pPr>
        <w:ind w:left="6086" w:hanging="360"/>
      </w:pPr>
      <w:rPr>
        <w:rFonts w:cs="Times New Roman"/>
      </w:rPr>
    </w:lvl>
    <w:lvl w:ilvl="8" w:tplc="2898D034">
      <w:start w:val="1"/>
      <w:numFmt w:val="lowerRoman"/>
      <w:lvlText w:val="%9."/>
      <w:lvlJc w:val="right"/>
      <w:pPr>
        <w:ind w:left="6806" w:hanging="180"/>
      </w:pPr>
      <w:rPr>
        <w:rFonts w:cs="Times New Roman"/>
      </w:rPr>
    </w:lvl>
  </w:abstractNum>
  <w:abstractNum w:abstractNumId="20">
    <w:nsid w:val="400E2772"/>
    <w:multiLevelType w:val="multilevel"/>
    <w:tmpl w:val="C92A0050"/>
    <w:lvl w:ilvl="0">
      <w:start w:val="19"/>
      <w:numFmt w:val="upperLetter"/>
      <w:lvlText w:val="%1"/>
      <w:lvlJc w:val="left"/>
      <w:pPr>
        <w:ind w:hanging="494"/>
      </w:pPr>
      <w:rPr>
        <w:rFonts w:cs="Times New Roman"/>
      </w:rPr>
    </w:lvl>
    <w:lvl w:ilvl="1">
      <w:start w:val="15"/>
      <w:numFmt w:val="decimal"/>
      <w:lvlText w:val="%1.%2"/>
      <w:lvlJc w:val="left"/>
      <w:pPr>
        <w:ind w:hanging="494"/>
      </w:pPr>
      <w:rPr>
        <w:rFonts w:ascii="Times New Roman" w:hAnsi="Times New Roman" w:cs="Times New Roman"/>
        <w:b w:val="0"/>
        <w:bCs w:val="0"/>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1.%2.%3.%4"/>
      <w:lvlJc w:val="left"/>
      <w:pPr>
        <w:ind w:hanging="854"/>
      </w:pPr>
      <w:rPr>
        <w:rFonts w:ascii="Times New Roman" w:hAnsi="Times New Roman" w:cs="Times New Roman"/>
        <w:b w:val="0"/>
        <w:bCs w:val="0"/>
        <w:sz w:val="28"/>
        <w:szCs w:val="28"/>
      </w:rPr>
    </w:lvl>
    <w:lvl w:ilvl="4">
      <w:start w:val="1"/>
      <w:numFmt w:val="decimal"/>
      <w:lvlText w:val="%1.%2.%3.%4.%5"/>
      <w:lvlJc w:val="left"/>
      <w:pPr>
        <w:ind w:hanging="1034"/>
      </w:pPr>
      <w:rPr>
        <w:rFonts w:ascii="Times New Roman" w:hAnsi="Times New Roman" w:cs="Times New Roman"/>
        <w:b w:val="0"/>
        <w:bCs w:val="0"/>
        <w:sz w:val="28"/>
        <w:szCs w:val="28"/>
      </w:rPr>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463F1C0C"/>
    <w:multiLevelType w:val="multilevel"/>
    <w:tmpl w:val="6FDEF110"/>
    <w:lvl w:ilvl="0">
      <w:start w:val="19"/>
      <w:numFmt w:val="upperLetter"/>
      <w:lvlText w:val="%1"/>
      <w:lvlJc w:val="left"/>
      <w:pPr>
        <w:ind w:hanging="494"/>
      </w:pPr>
      <w:rPr>
        <w:rFonts w:cs="Times New Roman"/>
      </w:rPr>
    </w:lvl>
    <w:lvl w:ilvl="1">
      <w:start w:val="18"/>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4A4C0278"/>
    <w:multiLevelType w:val="hybridMultilevel"/>
    <w:tmpl w:val="DFE26AD8"/>
    <w:lvl w:ilvl="0" w:tplc="414A05B0">
      <w:start w:val="1"/>
      <w:numFmt w:val="decimal"/>
      <w:lvlText w:val="%1."/>
      <w:lvlJc w:val="left"/>
      <w:pPr>
        <w:ind w:left="720" w:hanging="360"/>
      </w:pPr>
      <w:rPr>
        <w:rFonts w:cs="Times New Roman"/>
      </w:rPr>
    </w:lvl>
    <w:lvl w:ilvl="1" w:tplc="B38A2F52">
      <w:start w:val="1"/>
      <w:numFmt w:val="lowerLetter"/>
      <w:lvlText w:val="%2."/>
      <w:lvlJc w:val="left"/>
      <w:pPr>
        <w:ind w:left="1440" w:hanging="360"/>
      </w:pPr>
      <w:rPr>
        <w:rFonts w:cs="Times New Roman"/>
      </w:rPr>
    </w:lvl>
    <w:lvl w:ilvl="2" w:tplc="C39AA222">
      <w:start w:val="1"/>
      <w:numFmt w:val="lowerRoman"/>
      <w:lvlText w:val="%3."/>
      <w:lvlJc w:val="right"/>
      <w:pPr>
        <w:ind w:left="2160" w:hanging="180"/>
      </w:pPr>
      <w:rPr>
        <w:rFonts w:cs="Times New Roman"/>
      </w:rPr>
    </w:lvl>
    <w:lvl w:ilvl="3" w:tplc="7568ADA0">
      <w:start w:val="1"/>
      <w:numFmt w:val="decimal"/>
      <w:lvlText w:val="%4."/>
      <w:lvlJc w:val="left"/>
      <w:pPr>
        <w:ind w:left="2880" w:hanging="360"/>
      </w:pPr>
      <w:rPr>
        <w:rFonts w:cs="Times New Roman"/>
      </w:rPr>
    </w:lvl>
    <w:lvl w:ilvl="4" w:tplc="5688055E">
      <w:start w:val="1"/>
      <w:numFmt w:val="lowerLetter"/>
      <w:lvlText w:val="%5."/>
      <w:lvlJc w:val="left"/>
      <w:pPr>
        <w:ind w:left="3600" w:hanging="360"/>
      </w:pPr>
      <w:rPr>
        <w:rFonts w:cs="Times New Roman"/>
      </w:rPr>
    </w:lvl>
    <w:lvl w:ilvl="5" w:tplc="2BA482E6">
      <w:start w:val="1"/>
      <w:numFmt w:val="lowerRoman"/>
      <w:lvlText w:val="%6."/>
      <w:lvlJc w:val="right"/>
      <w:pPr>
        <w:ind w:left="4320" w:hanging="180"/>
      </w:pPr>
      <w:rPr>
        <w:rFonts w:cs="Times New Roman"/>
      </w:rPr>
    </w:lvl>
    <w:lvl w:ilvl="6" w:tplc="29FC2CEC">
      <w:start w:val="1"/>
      <w:numFmt w:val="decimal"/>
      <w:lvlText w:val="%7."/>
      <w:lvlJc w:val="left"/>
      <w:pPr>
        <w:ind w:left="5040" w:hanging="360"/>
      </w:pPr>
      <w:rPr>
        <w:rFonts w:cs="Times New Roman"/>
      </w:rPr>
    </w:lvl>
    <w:lvl w:ilvl="7" w:tplc="C1D6A746">
      <w:start w:val="1"/>
      <w:numFmt w:val="lowerLetter"/>
      <w:lvlText w:val="%8."/>
      <w:lvlJc w:val="left"/>
      <w:pPr>
        <w:ind w:left="5760" w:hanging="360"/>
      </w:pPr>
      <w:rPr>
        <w:rFonts w:cs="Times New Roman"/>
      </w:rPr>
    </w:lvl>
    <w:lvl w:ilvl="8" w:tplc="AB1E50CC">
      <w:start w:val="1"/>
      <w:numFmt w:val="lowerRoman"/>
      <w:lvlText w:val="%9."/>
      <w:lvlJc w:val="right"/>
      <w:pPr>
        <w:ind w:left="6480" w:hanging="180"/>
      </w:pPr>
      <w:rPr>
        <w:rFonts w:cs="Times New Roman"/>
      </w:rPr>
    </w:lvl>
  </w:abstractNum>
  <w:abstractNum w:abstractNumId="23">
    <w:nsid w:val="4B6117DA"/>
    <w:multiLevelType w:val="multilevel"/>
    <w:tmpl w:val="98E65122"/>
    <w:lvl w:ilvl="0">
      <w:start w:val="19"/>
      <w:numFmt w:val="upperLetter"/>
      <w:lvlText w:val="%1"/>
      <w:lvlJc w:val="left"/>
      <w:pPr>
        <w:ind w:hanging="374"/>
      </w:pPr>
      <w:rPr>
        <w:rFonts w:cs="Times New Roman"/>
      </w:rPr>
    </w:lvl>
    <w:lvl w:ilvl="1">
      <w:start w:val="9"/>
      <w:numFmt w:val="decimal"/>
      <w:lvlText w:val="%1.%2"/>
      <w:lvlJc w:val="left"/>
      <w:pPr>
        <w:ind w:hanging="374"/>
      </w:pPr>
      <w:rPr>
        <w:rFonts w:ascii="Times New Roman" w:hAnsi="Times New Roman" w:cs="Times New Roman"/>
        <w:b w:val="0"/>
        <w:bCs w:val="0"/>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55AD177E"/>
    <w:multiLevelType w:val="multilevel"/>
    <w:tmpl w:val="13ECA940"/>
    <w:lvl w:ilvl="0">
      <w:start w:val="19"/>
      <w:numFmt w:val="upperLetter"/>
      <w:lvlText w:val="%1"/>
      <w:lvlJc w:val="left"/>
      <w:pPr>
        <w:ind w:hanging="374"/>
      </w:pPr>
      <w:rPr>
        <w:rFonts w:cs="Times New Roman"/>
      </w:rPr>
    </w:lvl>
    <w:lvl w:ilvl="1">
      <w:start w:val="1"/>
      <w:numFmt w:val="decimal"/>
      <w:lvlText w:val="%1.%2"/>
      <w:lvlJc w:val="left"/>
      <w:pPr>
        <w:ind w:hanging="374"/>
      </w:pPr>
      <w:rPr>
        <w:rFonts w:ascii="Times New Roman" w:hAnsi="Times New Roman" w:cs="Times New Roman"/>
        <w:b w:val="0"/>
        <w:bCs w:val="0"/>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58422372"/>
    <w:multiLevelType w:val="multilevel"/>
    <w:tmpl w:val="A72A8082"/>
    <w:lvl w:ilvl="0">
      <w:start w:val="19"/>
      <w:numFmt w:val="upperLetter"/>
      <w:lvlText w:val="%1"/>
      <w:lvlJc w:val="left"/>
      <w:pPr>
        <w:ind w:hanging="374"/>
      </w:pPr>
      <w:rPr>
        <w:rFonts w:cs="Times New Roman"/>
      </w:rPr>
    </w:lvl>
    <w:lvl w:ilvl="1">
      <w:start w:val="8"/>
      <w:numFmt w:val="decimal"/>
      <w:lvlText w:val="%1.%2"/>
      <w:lvlJc w:val="left"/>
      <w:pPr>
        <w:ind w:hanging="374"/>
      </w:pPr>
      <w:rPr>
        <w:rFonts w:ascii="Times New Roman" w:hAnsi="Times New Roman" w:cs="Times New Roman"/>
        <w:b w:val="0"/>
        <w:bCs w:val="0"/>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decimal"/>
      <w:lvlText w:val="%4."/>
      <w:lvlJc w:val="left"/>
      <w:pPr>
        <w:ind w:hanging="254"/>
      </w:pPr>
      <w:rPr>
        <w:rFonts w:ascii="Times New Roman" w:hAnsi="Times New Roman" w:cs="Times New Roman"/>
        <w:b w:val="0"/>
        <w:bCs w:val="0"/>
        <w:spacing w:val="2"/>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5CAC09E8"/>
    <w:multiLevelType w:val="multilevel"/>
    <w:tmpl w:val="58AC43C6"/>
    <w:lvl w:ilvl="0">
      <w:start w:val="19"/>
      <w:numFmt w:val="upperLetter"/>
      <w:lvlText w:val="%1"/>
      <w:lvlJc w:val="left"/>
      <w:pPr>
        <w:ind w:hanging="494"/>
      </w:pPr>
      <w:rPr>
        <w:rFonts w:cs="Times New Roman"/>
      </w:rPr>
    </w:lvl>
    <w:lvl w:ilvl="1">
      <w:start w:val="21"/>
      <w:numFmt w:val="decimal"/>
      <w:lvlText w:val="%1.%2"/>
      <w:lvlJc w:val="left"/>
      <w:pPr>
        <w:ind w:hanging="494"/>
      </w:pPr>
      <w:rPr>
        <w:rFonts w:ascii="Times New Roman" w:hAnsi="Times New Roman" w:cs="Times New Roman"/>
        <w:b w:val="0"/>
        <w:bCs w:val="0"/>
        <w:sz w:val="24"/>
        <w:szCs w:val="24"/>
      </w:rPr>
    </w:lvl>
    <w:lvl w:ilvl="2">
      <w:start w:val="1"/>
      <w:numFmt w:val="bullet"/>
      <w:lvlText w:val="-"/>
      <w:lvlJc w:val="left"/>
      <w:pPr>
        <w:ind w:hanging="168"/>
      </w:pPr>
      <w:rPr>
        <w:rFonts w:ascii="Times New Roman" w:hAnsi="Times New Roman"/>
        <w:b w:val="0"/>
        <w:sz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5CB604D4"/>
    <w:multiLevelType w:val="multilevel"/>
    <w:tmpl w:val="536CDF3A"/>
    <w:lvl w:ilvl="0">
      <w:start w:val="19"/>
      <w:numFmt w:val="upperLetter"/>
      <w:lvlText w:val="%1"/>
      <w:lvlJc w:val="left"/>
      <w:pPr>
        <w:ind w:hanging="494"/>
      </w:pPr>
      <w:rPr>
        <w:rFonts w:cs="Times New Roman"/>
      </w:rPr>
    </w:lvl>
    <w:lvl w:ilvl="1">
      <w:start w:val="16"/>
      <w:numFmt w:val="decimal"/>
      <w:lvlText w:val="%1.%2"/>
      <w:lvlJc w:val="left"/>
      <w:pPr>
        <w:ind w:hanging="494"/>
      </w:pPr>
      <w:rPr>
        <w:rFonts w:ascii="Times New Roman" w:hAnsi="Times New Roman" w:cs="Times New Roman"/>
        <w:b w:val="0"/>
        <w:bCs w:val="0"/>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1.%2.%3.%4"/>
      <w:lvlJc w:val="left"/>
      <w:pPr>
        <w:ind w:hanging="854"/>
      </w:pPr>
      <w:rPr>
        <w:rFonts w:ascii="Times New Roman" w:hAnsi="Times New Roman" w:cs="Times New Roman"/>
        <w:b w:val="0"/>
        <w:bCs w:val="0"/>
        <w:sz w:val="28"/>
        <w:szCs w:val="28"/>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637A1194"/>
    <w:multiLevelType w:val="multilevel"/>
    <w:tmpl w:val="6D6C65E6"/>
    <w:lvl w:ilvl="0">
      <w:start w:val="19"/>
      <w:numFmt w:val="upperLetter"/>
      <w:lvlText w:val="%1"/>
      <w:lvlJc w:val="left"/>
      <w:pPr>
        <w:ind w:hanging="674"/>
      </w:pPr>
      <w:rPr>
        <w:rFonts w:cs="Times New Roman"/>
      </w:rPr>
    </w:lvl>
    <w:lvl w:ilvl="1">
      <w:start w:val="11"/>
      <w:numFmt w:val="decimal"/>
      <w:lvlText w:val="%1.%2"/>
      <w:lvlJc w:val="left"/>
      <w:pPr>
        <w:ind w:hanging="674"/>
      </w:pPr>
      <w:rPr>
        <w:rFonts w:cs="Times New Roman"/>
      </w:rPr>
    </w:lvl>
    <w:lvl w:ilvl="2">
      <w:start w:val="4"/>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6BE86069"/>
    <w:multiLevelType w:val="multilevel"/>
    <w:tmpl w:val="9364C9F4"/>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6DAB16F1"/>
    <w:multiLevelType w:val="multilevel"/>
    <w:tmpl w:val="4C7698C6"/>
    <w:lvl w:ilvl="0">
      <w:start w:val="19"/>
      <w:numFmt w:val="upperLetter"/>
      <w:lvlText w:val="%1"/>
      <w:lvlJc w:val="left"/>
      <w:pPr>
        <w:ind w:hanging="554"/>
      </w:pPr>
      <w:rPr>
        <w:rFonts w:cs="Times New Roman"/>
      </w:rPr>
    </w:lvl>
    <w:lvl w:ilvl="1">
      <w:start w:val="1"/>
      <w:numFmt w:val="decimal"/>
      <w:lvlText w:val="%1.%2"/>
      <w:lvlJc w:val="left"/>
      <w:pPr>
        <w:ind w:hanging="554"/>
      </w:pPr>
      <w:rPr>
        <w:rFonts w:cs="Times New Roman"/>
      </w:rPr>
    </w:lvl>
    <w:lvl w:ilvl="2">
      <w:start w:val="5"/>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6FCF3336"/>
    <w:multiLevelType w:val="hybridMultilevel"/>
    <w:tmpl w:val="DE3C3AA4"/>
    <w:lvl w:ilvl="0" w:tplc="0CFC5F90">
      <w:start w:val="1"/>
      <w:numFmt w:val="decimal"/>
      <w:lvlText w:val="%1."/>
      <w:lvlJc w:val="left"/>
      <w:rPr>
        <w:rFonts w:cs="Times New Roman"/>
      </w:rPr>
    </w:lvl>
    <w:lvl w:ilvl="1" w:tplc="A45AB968">
      <w:start w:val="1"/>
      <w:numFmt w:val="decimal"/>
      <w:lvlText w:val=""/>
      <w:lvlJc w:val="left"/>
      <w:rPr>
        <w:rFonts w:cs="Times New Roman"/>
      </w:rPr>
    </w:lvl>
    <w:lvl w:ilvl="2" w:tplc="6CF438DC">
      <w:start w:val="1"/>
      <w:numFmt w:val="decimal"/>
      <w:lvlText w:val=""/>
      <w:lvlJc w:val="left"/>
      <w:rPr>
        <w:rFonts w:cs="Times New Roman"/>
      </w:rPr>
    </w:lvl>
    <w:lvl w:ilvl="3" w:tplc="BBE4A0FA">
      <w:start w:val="1"/>
      <w:numFmt w:val="decimal"/>
      <w:lvlText w:val=""/>
      <w:lvlJc w:val="left"/>
      <w:rPr>
        <w:rFonts w:cs="Times New Roman"/>
      </w:rPr>
    </w:lvl>
    <w:lvl w:ilvl="4" w:tplc="0A72F75C">
      <w:start w:val="1"/>
      <w:numFmt w:val="decimal"/>
      <w:lvlText w:val=""/>
      <w:lvlJc w:val="left"/>
      <w:rPr>
        <w:rFonts w:cs="Times New Roman"/>
      </w:rPr>
    </w:lvl>
    <w:lvl w:ilvl="5" w:tplc="3B44293E">
      <w:start w:val="1"/>
      <w:numFmt w:val="decimal"/>
      <w:lvlText w:val=""/>
      <w:lvlJc w:val="left"/>
      <w:rPr>
        <w:rFonts w:cs="Times New Roman"/>
      </w:rPr>
    </w:lvl>
    <w:lvl w:ilvl="6" w:tplc="7D5A77C8">
      <w:start w:val="1"/>
      <w:numFmt w:val="decimal"/>
      <w:lvlText w:val=""/>
      <w:lvlJc w:val="left"/>
      <w:rPr>
        <w:rFonts w:cs="Times New Roman"/>
      </w:rPr>
    </w:lvl>
    <w:lvl w:ilvl="7" w:tplc="BBE607C4">
      <w:start w:val="1"/>
      <w:numFmt w:val="decimal"/>
      <w:lvlText w:val=""/>
      <w:lvlJc w:val="left"/>
      <w:rPr>
        <w:rFonts w:cs="Times New Roman"/>
      </w:rPr>
    </w:lvl>
    <w:lvl w:ilvl="8" w:tplc="30B05A4E">
      <w:start w:val="1"/>
      <w:numFmt w:val="decimal"/>
      <w:lvlText w:val=""/>
      <w:lvlJc w:val="left"/>
      <w:rPr>
        <w:rFonts w:cs="Times New Roman"/>
      </w:rPr>
    </w:lvl>
  </w:abstractNum>
  <w:abstractNum w:abstractNumId="32">
    <w:nsid w:val="714F2214"/>
    <w:multiLevelType w:val="hybridMultilevel"/>
    <w:tmpl w:val="3EF49164"/>
    <w:lvl w:ilvl="0" w:tplc="560CA03E">
      <w:start w:val="1"/>
      <w:numFmt w:val="bullet"/>
      <w:lvlText w:val="-"/>
      <w:lvlJc w:val="left"/>
    </w:lvl>
    <w:lvl w:ilvl="1" w:tplc="0DA85C00">
      <w:start w:val="1"/>
      <w:numFmt w:val="decimal"/>
      <w:lvlText w:val=""/>
      <w:lvlJc w:val="left"/>
    </w:lvl>
    <w:lvl w:ilvl="2" w:tplc="D6AE7DB4">
      <w:start w:val="1"/>
      <w:numFmt w:val="decimal"/>
      <w:lvlText w:val=""/>
      <w:lvlJc w:val="left"/>
    </w:lvl>
    <w:lvl w:ilvl="3" w:tplc="F8767766">
      <w:start w:val="1"/>
      <w:numFmt w:val="decimal"/>
      <w:lvlText w:val=""/>
      <w:lvlJc w:val="left"/>
    </w:lvl>
    <w:lvl w:ilvl="4" w:tplc="F252FBD2">
      <w:start w:val="1"/>
      <w:numFmt w:val="decimal"/>
      <w:lvlText w:val=""/>
      <w:lvlJc w:val="left"/>
    </w:lvl>
    <w:lvl w:ilvl="5" w:tplc="5BF2D7A4">
      <w:start w:val="1"/>
      <w:numFmt w:val="decimal"/>
      <w:lvlText w:val=""/>
      <w:lvlJc w:val="left"/>
    </w:lvl>
    <w:lvl w:ilvl="6" w:tplc="53A0B34C">
      <w:start w:val="1"/>
      <w:numFmt w:val="decimal"/>
      <w:lvlText w:val=""/>
      <w:lvlJc w:val="left"/>
    </w:lvl>
    <w:lvl w:ilvl="7" w:tplc="DEAC0B3C">
      <w:start w:val="1"/>
      <w:numFmt w:val="decimal"/>
      <w:lvlText w:val=""/>
      <w:lvlJc w:val="left"/>
    </w:lvl>
    <w:lvl w:ilvl="8" w:tplc="80C0C13E">
      <w:start w:val="1"/>
      <w:numFmt w:val="decimal"/>
      <w:lvlText w:val=""/>
      <w:lvlJc w:val="left"/>
    </w:lvl>
  </w:abstractNum>
  <w:abstractNum w:abstractNumId="33">
    <w:nsid w:val="739A2D1C"/>
    <w:multiLevelType w:val="hybridMultilevel"/>
    <w:tmpl w:val="6EDA1276"/>
    <w:lvl w:ilvl="0" w:tplc="9536B4E8">
      <w:start w:val="1"/>
      <w:numFmt w:val="decimal"/>
      <w:lvlText w:val="%1."/>
      <w:lvlJc w:val="left"/>
    </w:lvl>
    <w:lvl w:ilvl="1" w:tplc="D4462A22">
      <w:start w:val="1"/>
      <w:numFmt w:val="decimal"/>
      <w:lvlText w:val=""/>
      <w:lvlJc w:val="left"/>
    </w:lvl>
    <w:lvl w:ilvl="2" w:tplc="CB2CF02A">
      <w:start w:val="1"/>
      <w:numFmt w:val="decimal"/>
      <w:lvlText w:val=""/>
      <w:lvlJc w:val="left"/>
    </w:lvl>
    <w:lvl w:ilvl="3" w:tplc="28849810">
      <w:start w:val="1"/>
      <w:numFmt w:val="decimal"/>
      <w:lvlText w:val=""/>
      <w:lvlJc w:val="left"/>
    </w:lvl>
    <w:lvl w:ilvl="4" w:tplc="1364542A">
      <w:start w:val="1"/>
      <w:numFmt w:val="decimal"/>
      <w:lvlText w:val=""/>
      <w:lvlJc w:val="left"/>
    </w:lvl>
    <w:lvl w:ilvl="5" w:tplc="61C4324C">
      <w:start w:val="1"/>
      <w:numFmt w:val="decimal"/>
      <w:lvlText w:val=""/>
      <w:lvlJc w:val="left"/>
    </w:lvl>
    <w:lvl w:ilvl="6" w:tplc="FDB0F26C">
      <w:start w:val="1"/>
      <w:numFmt w:val="decimal"/>
      <w:lvlText w:val=""/>
      <w:lvlJc w:val="left"/>
    </w:lvl>
    <w:lvl w:ilvl="7" w:tplc="C4C8AF30">
      <w:start w:val="1"/>
      <w:numFmt w:val="decimal"/>
      <w:lvlText w:val=""/>
      <w:lvlJc w:val="left"/>
    </w:lvl>
    <w:lvl w:ilvl="8" w:tplc="348C6CDA">
      <w:start w:val="1"/>
      <w:numFmt w:val="decimal"/>
      <w:lvlText w:val=""/>
      <w:lvlJc w:val="left"/>
    </w:lvl>
  </w:abstractNum>
  <w:abstractNum w:abstractNumId="34">
    <w:nsid w:val="751506D2"/>
    <w:multiLevelType w:val="multilevel"/>
    <w:tmpl w:val="632C2D66"/>
    <w:lvl w:ilvl="0">
      <w:start w:val="19"/>
      <w:numFmt w:val="upperLetter"/>
      <w:lvlText w:val="%1"/>
      <w:lvlJc w:val="left"/>
      <w:pPr>
        <w:ind w:hanging="494"/>
      </w:pPr>
      <w:rPr>
        <w:rFonts w:cs="Times New Roman"/>
      </w:rPr>
    </w:lvl>
    <w:lvl w:ilvl="1">
      <w:start w:val="19"/>
      <w:numFmt w:val="decimal"/>
      <w:lvlText w:val="%1.%2"/>
      <w:lvlJc w:val="left"/>
      <w:pPr>
        <w:ind w:hanging="494"/>
      </w:pPr>
      <w:rPr>
        <w:rFonts w:ascii="Times New Roman" w:hAnsi="Times New Roman" w:cs="Times New Roman"/>
        <w:b w:val="0"/>
        <w:bCs w:val="0"/>
        <w:sz w:val="28"/>
        <w:szCs w:val="28"/>
      </w:rPr>
    </w:lvl>
    <w:lvl w:ilvl="2">
      <w:start w:val="2"/>
      <w:numFmt w:val="decimal"/>
      <w:lvlText w:val="%1.%2.%3"/>
      <w:lvlJc w:val="left"/>
      <w:pPr>
        <w:ind w:hanging="674"/>
      </w:pPr>
      <w:rPr>
        <w:rFonts w:ascii="Times New Roman" w:hAnsi="Times New Roman" w:cs="Times New Roman"/>
        <w:b w:val="0"/>
        <w:bCs w:val="0"/>
        <w:sz w:val="28"/>
        <w:szCs w:val="28"/>
      </w:rPr>
    </w:lvl>
    <w:lvl w:ilvl="3">
      <w:start w:val="1"/>
      <w:numFmt w:val="decimal"/>
      <w:lvlText w:val="%4)"/>
      <w:lvlJc w:val="left"/>
      <w:pPr>
        <w:ind w:hanging="322"/>
      </w:pPr>
      <w:rPr>
        <w:rFonts w:ascii="Times New Roman" w:hAnsi="Times New Roman" w:cs="Times New Roman"/>
        <w:b w:val="0"/>
        <w:bCs w:val="0"/>
        <w:spacing w:val="11"/>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75186C0C"/>
    <w:multiLevelType w:val="multilevel"/>
    <w:tmpl w:val="07F6B552"/>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797B24BF"/>
    <w:multiLevelType w:val="hybridMultilevel"/>
    <w:tmpl w:val="BD167620"/>
    <w:lvl w:ilvl="0" w:tplc="247C0422">
      <w:start w:val="1"/>
      <w:numFmt w:val="bullet"/>
      <w:lvlText w:val="-"/>
      <w:lvlJc w:val="left"/>
    </w:lvl>
    <w:lvl w:ilvl="1" w:tplc="D92A98B8">
      <w:start w:val="1"/>
      <w:numFmt w:val="decimal"/>
      <w:lvlText w:val=""/>
      <w:lvlJc w:val="left"/>
      <w:rPr>
        <w:rFonts w:cs="Times New Roman"/>
      </w:rPr>
    </w:lvl>
    <w:lvl w:ilvl="2" w:tplc="6C78BEA0">
      <w:start w:val="1"/>
      <w:numFmt w:val="decimal"/>
      <w:lvlText w:val=""/>
      <w:lvlJc w:val="left"/>
      <w:rPr>
        <w:rFonts w:cs="Times New Roman"/>
      </w:rPr>
    </w:lvl>
    <w:lvl w:ilvl="3" w:tplc="7CB48D56">
      <w:start w:val="1"/>
      <w:numFmt w:val="decimal"/>
      <w:lvlText w:val=""/>
      <w:lvlJc w:val="left"/>
      <w:rPr>
        <w:rFonts w:cs="Times New Roman"/>
      </w:rPr>
    </w:lvl>
    <w:lvl w:ilvl="4" w:tplc="B772218A">
      <w:start w:val="1"/>
      <w:numFmt w:val="decimal"/>
      <w:lvlText w:val=""/>
      <w:lvlJc w:val="left"/>
      <w:rPr>
        <w:rFonts w:cs="Times New Roman"/>
      </w:rPr>
    </w:lvl>
    <w:lvl w:ilvl="5" w:tplc="2ADEE3DE">
      <w:start w:val="1"/>
      <w:numFmt w:val="decimal"/>
      <w:lvlText w:val=""/>
      <w:lvlJc w:val="left"/>
      <w:rPr>
        <w:rFonts w:cs="Times New Roman"/>
      </w:rPr>
    </w:lvl>
    <w:lvl w:ilvl="6" w:tplc="630E89BA">
      <w:start w:val="1"/>
      <w:numFmt w:val="decimal"/>
      <w:lvlText w:val=""/>
      <w:lvlJc w:val="left"/>
      <w:rPr>
        <w:rFonts w:cs="Times New Roman"/>
      </w:rPr>
    </w:lvl>
    <w:lvl w:ilvl="7" w:tplc="2624776A">
      <w:start w:val="1"/>
      <w:numFmt w:val="decimal"/>
      <w:lvlText w:val=""/>
      <w:lvlJc w:val="left"/>
      <w:rPr>
        <w:rFonts w:cs="Times New Roman"/>
      </w:rPr>
    </w:lvl>
    <w:lvl w:ilvl="8" w:tplc="B78E39FA">
      <w:start w:val="1"/>
      <w:numFmt w:val="decimal"/>
      <w:lvlText w:val=""/>
      <w:lvlJc w:val="left"/>
      <w:rPr>
        <w:rFonts w:cs="Times New Roman"/>
      </w:rPr>
    </w:lvl>
  </w:abstractNum>
  <w:abstractNum w:abstractNumId="37">
    <w:nsid w:val="7CC434EE"/>
    <w:multiLevelType w:val="multilevel"/>
    <w:tmpl w:val="BC466354"/>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17"/>
  </w:num>
  <w:num w:numId="2">
    <w:abstractNumId w:val="26"/>
  </w:num>
  <w:num w:numId="3">
    <w:abstractNumId w:val="34"/>
  </w:num>
  <w:num w:numId="4">
    <w:abstractNumId w:val="21"/>
  </w:num>
  <w:num w:numId="5">
    <w:abstractNumId w:val="7"/>
  </w:num>
  <w:num w:numId="6">
    <w:abstractNumId w:val="27"/>
  </w:num>
  <w:num w:numId="7">
    <w:abstractNumId w:val="1"/>
  </w:num>
  <w:num w:numId="8">
    <w:abstractNumId w:val="20"/>
  </w:num>
  <w:num w:numId="9">
    <w:abstractNumId w:val="5"/>
  </w:num>
  <w:num w:numId="10">
    <w:abstractNumId w:val="6"/>
  </w:num>
  <w:num w:numId="11">
    <w:abstractNumId w:val="18"/>
  </w:num>
  <w:num w:numId="12">
    <w:abstractNumId w:val="8"/>
  </w:num>
  <w:num w:numId="13">
    <w:abstractNumId w:val="28"/>
  </w:num>
  <w:num w:numId="14">
    <w:abstractNumId w:val="9"/>
  </w:num>
  <w:num w:numId="15">
    <w:abstractNumId w:val="13"/>
  </w:num>
  <w:num w:numId="16">
    <w:abstractNumId w:val="23"/>
  </w:num>
  <w:num w:numId="17">
    <w:abstractNumId w:val="25"/>
  </w:num>
  <w:num w:numId="18">
    <w:abstractNumId w:val="11"/>
  </w:num>
  <w:num w:numId="19">
    <w:abstractNumId w:val="10"/>
  </w:num>
  <w:num w:numId="20">
    <w:abstractNumId w:val="30"/>
  </w:num>
  <w:num w:numId="21">
    <w:abstractNumId w:val="24"/>
  </w:num>
  <w:num w:numId="22">
    <w:abstractNumId w:val="14"/>
  </w:num>
  <w:num w:numId="23">
    <w:abstractNumId w:val="19"/>
  </w:num>
  <w:num w:numId="24">
    <w:abstractNumId w:val="22"/>
  </w:num>
  <w:num w:numId="25">
    <w:abstractNumId w:val="3"/>
  </w:num>
  <w:num w:numId="26">
    <w:abstractNumId w:val="31"/>
  </w:num>
  <w:num w:numId="27">
    <w:abstractNumId w:val="36"/>
  </w:num>
  <w:num w:numId="28">
    <w:abstractNumId w:val="16"/>
  </w:num>
  <w:num w:numId="29">
    <w:abstractNumId w:val="37"/>
  </w:num>
  <w:num w:numId="30">
    <w:abstractNumId w:val="4"/>
  </w:num>
  <w:num w:numId="31">
    <w:abstractNumId w:val="35"/>
  </w:num>
  <w:num w:numId="32">
    <w:abstractNumId w:val="2"/>
  </w:num>
  <w:num w:numId="33">
    <w:abstractNumId w:val="29"/>
  </w:num>
  <w:num w:numId="34">
    <w:abstractNumId w:val="0"/>
  </w:num>
  <w:num w:numId="35">
    <w:abstractNumId w:val="12"/>
  </w:num>
  <w:num w:numId="36">
    <w:abstractNumId w:val="15"/>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43"/>
    <w:rsid w:val="001557BE"/>
    <w:rsid w:val="002C3843"/>
    <w:rsid w:val="00682F93"/>
    <w:rsid w:val="008C3D77"/>
    <w:rsid w:val="008D15F8"/>
    <w:rsid w:val="00946AEB"/>
    <w:rsid w:val="009B76CA"/>
    <w:rsid w:val="00E36BDB"/>
    <w:rsid w:val="00FB6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spacing w:after="0" w:line="240" w:lineRule="auto"/>
    </w:pPr>
    <w:rPr>
      <w:rFonts w:ascii="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Body Text"/>
    <w:basedOn w:val="a"/>
    <w:link w:val="af3"/>
    <w:uiPriority w:val="1"/>
    <w:qFormat/>
    <w:pPr>
      <w:ind w:left="686"/>
    </w:pPr>
  </w:style>
  <w:style w:type="character" w:customStyle="1" w:styleId="af3">
    <w:name w:val="Основной текст Знак"/>
    <w:basedOn w:val="a0"/>
    <w:link w:val="af2"/>
    <w:uiPriority w:val="99"/>
    <w:semiHidden/>
    <w:rPr>
      <w:rFonts w:ascii="Times New Roman" w:hAnsi="Times New Roman" w:cs="Times New Roman"/>
      <w:sz w:val="24"/>
      <w:szCs w:val="24"/>
    </w:rPr>
  </w:style>
  <w:style w:type="paragraph" w:styleId="af4">
    <w:name w:val="List Paragraph"/>
    <w:basedOn w:val="a"/>
    <w:uiPriority w:val="34"/>
    <w:qFormat/>
  </w:style>
  <w:style w:type="paragraph" w:customStyle="1" w:styleId="TableParagraph">
    <w:name w:val="Table Paragraph"/>
    <w:basedOn w:val="a"/>
    <w:uiPriority w:val="1"/>
    <w:qFormat/>
  </w:style>
  <w:style w:type="table" w:styleId="af5">
    <w:name w:val="Table Grid"/>
    <w:basedOn w:val="a1"/>
    <w:uiPriority w:val="39"/>
    <w:pPr>
      <w:widowControl w:val="0"/>
      <w:spacing w:after="0" w:line="240"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 Spacing"/>
    <w:uiPriority w:val="1"/>
    <w:qFormat/>
    <w:pPr>
      <w:tabs>
        <w:tab w:val="center" w:pos="4536"/>
      </w:tabs>
      <w:spacing w:after="0" w:line="240" w:lineRule="auto"/>
    </w:pPr>
    <w:rPr>
      <w:rFonts w:ascii="Times New Roman" w:hAnsi="Times New Roman"/>
      <w:sz w:val="20"/>
      <w:szCs w:val="20"/>
    </w:rPr>
  </w:style>
  <w:style w:type="character" w:styleId="af7">
    <w:name w:val="Hyperlink"/>
    <w:basedOn w:val="a0"/>
    <w:uiPriority w:val="99"/>
    <w:unhideWhenUsed/>
    <w:rPr>
      <w:rFonts w:cs="Times New Roman"/>
      <w:color w:val="0000FF" w:themeColor="hyperlink"/>
      <w:u w:val="single"/>
    </w:rPr>
  </w:style>
  <w:style w:type="paragraph" w:customStyle="1" w:styleId="af8">
    <w:name w:val="ОснТекст:"/>
    <w:basedOn w:val="a"/>
    <w:next w:val="a"/>
    <w:pPr>
      <w:widowControl/>
      <w:spacing w:after="120"/>
      <w:ind w:firstLine="709"/>
      <w:jc w:val="both"/>
    </w:pPr>
    <w:rPr>
      <w:sz w:val="20"/>
      <w:szCs w:val="20"/>
    </w:rPr>
  </w:style>
  <w:style w:type="paragraph" w:customStyle="1" w:styleId="af9">
    <w:name w:val="Знак"/>
    <w:basedOn w:val="a"/>
    <w:pPr>
      <w:widowControl/>
      <w:spacing w:after="160" w:line="240" w:lineRule="exact"/>
    </w:pPr>
    <w:rPr>
      <w:rFonts w:eastAsia="SimSun"/>
      <w:b/>
      <w:sz w:val="28"/>
      <w:lang w:val="en-US" w:eastAsia="en-US"/>
    </w:rPr>
  </w:style>
  <w:style w:type="paragraph" w:styleId="24">
    <w:name w:val="Body Text 2"/>
    <w:basedOn w:val="a"/>
    <w:link w:val="25"/>
    <w:uiPriority w:val="99"/>
    <w:semiHidden/>
    <w:unhideWhenUsed/>
    <w:pPr>
      <w:spacing w:after="120" w:line="480" w:lineRule="auto"/>
    </w:pPr>
  </w:style>
  <w:style w:type="character" w:customStyle="1" w:styleId="25">
    <w:name w:val="Основной текст 2 Знак"/>
    <w:basedOn w:val="a0"/>
    <w:link w:val="24"/>
    <w:uiPriority w:val="99"/>
    <w:semiHidden/>
    <w:rPr>
      <w:rFonts w:ascii="Times New Roman" w:hAnsi="Times New Roman" w:cs="Times New Roman"/>
      <w:sz w:val="24"/>
      <w:szCs w:val="24"/>
    </w:rPr>
  </w:style>
  <w:style w:type="paragraph" w:customStyle="1" w:styleId="Default">
    <w:name w:val="Default"/>
    <w:pPr>
      <w:spacing w:after="0" w:line="240" w:lineRule="auto"/>
    </w:pPr>
    <w:rPr>
      <w:rFonts w:ascii="Times New Roman" w:hAnsi="Times New Roman"/>
      <w:color w:val="000000"/>
      <w:sz w:val="24"/>
      <w:szCs w:val="24"/>
    </w:r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hAnsi="Times New Roman" w:cs="Times New Roman"/>
      <w:sz w:val="24"/>
      <w:szCs w:val="24"/>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hAnsi="Times New Roman" w:cs="Times New Roman"/>
      <w:sz w:val="24"/>
      <w:szCs w:val="24"/>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customStyle="1" w:styleId="26">
    <w:name w:val="Основной текст (2)"/>
    <w:basedOn w:val="a"/>
    <w:link w:val="27"/>
    <w:pPr>
      <w:widowControl/>
      <w:shd w:val="clear" w:color="auto" w:fill="FFFFFF"/>
      <w:spacing w:before="300" w:line="358" w:lineRule="exact"/>
      <w:jc w:val="center"/>
    </w:pPr>
    <w:rPr>
      <w:rFonts w:eastAsia="Times New Roman"/>
      <w:i/>
      <w:iCs/>
      <w:color w:val="000000"/>
      <w:spacing w:val="-20"/>
      <w:sz w:val="37"/>
      <w:szCs w:val="37"/>
    </w:rPr>
  </w:style>
  <w:style w:type="character" w:customStyle="1" w:styleId="27">
    <w:name w:val="Основной текст (2)_"/>
    <w:basedOn w:val="a0"/>
    <w:link w:val="26"/>
    <w:rPr>
      <w:rFonts w:ascii="Times New Roman" w:eastAsia="Times New Roman" w:hAnsi="Times New Roman"/>
      <w:i/>
      <w:iCs/>
      <w:color w:val="000000"/>
      <w:spacing w:val="-20"/>
      <w:sz w:val="37"/>
      <w:szCs w:val="37"/>
      <w:shd w:val="clear" w:color="auto" w:fill="FFFFFF"/>
    </w:rPr>
  </w:style>
  <w:style w:type="character" w:customStyle="1" w:styleId="aff0">
    <w:name w:val="Основной текст_"/>
    <w:basedOn w:val="a0"/>
    <w:link w:val="12"/>
    <w:rPr>
      <w:rFonts w:ascii="Times New Roman" w:eastAsia="Times New Roman" w:hAnsi="Times New Roman"/>
      <w:sz w:val="23"/>
      <w:szCs w:val="23"/>
      <w:shd w:val="clear" w:color="auto" w:fill="FFFFFF"/>
    </w:rPr>
  </w:style>
  <w:style w:type="paragraph" w:customStyle="1" w:styleId="12">
    <w:name w:val="Основной текст1"/>
    <w:basedOn w:val="a"/>
    <w:link w:val="aff0"/>
    <w:pPr>
      <w:widowControl/>
      <w:shd w:val="clear" w:color="auto" w:fill="FFFFFF"/>
      <w:spacing w:line="317" w:lineRule="exact"/>
    </w:pPr>
    <w:rPr>
      <w:rFonts w:eastAsia="Times New Roman"/>
      <w:sz w:val="23"/>
      <w:szCs w:val="23"/>
    </w:rPr>
  </w:style>
  <w:style w:type="character" w:customStyle="1" w:styleId="UnresolvedMention">
    <w:name w:val="Unresolved Mention"/>
    <w:basedOn w:val="a0"/>
    <w:uiPriority w:val="99"/>
    <w:semiHidden/>
    <w:unhideWhenUsed/>
    <w:rPr>
      <w:color w:val="605E5C"/>
      <w:shd w:val="clear" w:color="auto" w:fill="E1DFDD"/>
    </w:rPr>
  </w:style>
  <w:style w:type="character" w:styleId="aff1">
    <w:name w:val="annotation reference"/>
    <w:basedOn w:val="a0"/>
    <w:uiPriority w:val="99"/>
    <w:semiHidden/>
    <w:unhideWhenUsed/>
    <w:rsid w:val="008C3D77"/>
    <w:rPr>
      <w:sz w:val="16"/>
      <w:szCs w:val="16"/>
    </w:rPr>
  </w:style>
  <w:style w:type="paragraph" w:styleId="aff2">
    <w:name w:val="annotation text"/>
    <w:basedOn w:val="a"/>
    <w:link w:val="aff3"/>
    <w:uiPriority w:val="99"/>
    <w:semiHidden/>
    <w:unhideWhenUsed/>
    <w:rsid w:val="008C3D77"/>
    <w:rPr>
      <w:sz w:val="20"/>
      <w:szCs w:val="20"/>
    </w:rPr>
  </w:style>
  <w:style w:type="character" w:customStyle="1" w:styleId="aff3">
    <w:name w:val="Текст примечания Знак"/>
    <w:basedOn w:val="a0"/>
    <w:link w:val="aff2"/>
    <w:uiPriority w:val="99"/>
    <w:semiHidden/>
    <w:rsid w:val="008C3D77"/>
    <w:rPr>
      <w:rFonts w:ascii="Times New Roman" w:hAnsi="Times New Roman"/>
      <w:sz w:val="20"/>
      <w:szCs w:val="20"/>
    </w:rPr>
  </w:style>
  <w:style w:type="paragraph" w:styleId="aff4">
    <w:name w:val="annotation subject"/>
    <w:basedOn w:val="aff2"/>
    <w:next w:val="aff2"/>
    <w:link w:val="aff5"/>
    <w:uiPriority w:val="99"/>
    <w:semiHidden/>
    <w:unhideWhenUsed/>
    <w:rsid w:val="008C3D77"/>
    <w:rPr>
      <w:b/>
      <w:bCs/>
    </w:rPr>
  </w:style>
  <w:style w:type="character" w:customStyle="1" w:styleId="aff5">
    <w:name w:val="Тема примечания Знак"/>
    <w:basedOn w:val="aff3"/>
    <w:link w:val="aff4"/>
    <w:uiPriority w:val="99"/>
    <w:semiHidden/>
    <w:rsid w:val="008C3D7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spacing w:after="0" w:line="240" w:lineRule="auto"/>
    </w:pPr>
    <w:rPr>
      <w:rFonts w:ascii="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Body Text"/>
    <w:basedOn w:val="a"/>
    <w:link w:val="af3"/>
    <w:uiPriority w:val="1"/>
    <w:qFormat/>
    <w:pPr>
      <w:ind w:left="686"/>
    </w:pPr>
  </w:style>
  <w:style w:type="character" w:customStyle="1" w:styleId="af3">
    <w:name w:val="Основной текст Знак"/>
    <w:basedOn w:val="a0"/>
    <w:link w:val="af2"/>
    <w:uiPriority w:val="99"/>
    <w:semiHidden/>
    <w:rPr>
      <w:rFonts w:ascii="Times New Roman" w:hAnsi="Times New Roman" w:cs="Times New Roman"/>
      <w:sz w:val="24"/>
      <w:szCs w:val="24"/>
    </w:rPr>
  </w:style>
  <w:style w:type="paragraph" w:styleId="af4">
    <w:name w:val="List Paragraph"/>
    <w:basedOn w:val="a"/>
    <w:uiPriority w:val="34"/>
    <w:qFormat/>
  </w:style>
  <w:style w:type="paragraph" w:customStyle="1" w:styleId="TableParagraph">
    <w:name w:val="Table Paragraph"/>
    <w:basedOn w:val="a"/>
    <w:uiPriority w:val="1"/>
    <w:qFormat/>
  </w:style>
  <w:style w:type="table" w:styleId="af5">
    <w:name w:val="Table Grid"/>
    <w:basedOn w:val="a1"/>
    <w:uiPriority w:val="39"/>
    <w:pPr>
      <w:widowControl w:val="0"/>
      <w:spacing w:after="0" w:line="240"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 Spacing"/>
    <w:uiPriority w:val="1"/>
    <w:qFormat/>
    <w:pPr>
      <w:tabs>
        <w:tab w:val="center" w:pos="4536"/>
      </w:tabs>
      <w:spacing w:after="0" w:line="240" w:lineRule="auto"/>
    </w:pPr>
    <w:rPr>
      <w:rFonts w:ascii="Times New Roman" w:hAnsi="Times New Roman"/>
      <w:sz w:val="20"/>
      <w:szCs w:val="20"/>
    </w:rPr>
  </w:style>
  <w:style w:type="character" w:styleId="af7">
    <w:name w:val="Hyperlink"/>
    <w:basedOn w:val="a0"/>
    <w:uiPriority w:val="99"/>
    <w:unhideWhenUsed/>
    <w:rPr>
      <w:rFonts w:cs="Times New Roman"/>
      <w:color w:val="0000FF" w:themeColor="hyperlink"/>
      <w:u w:val="single"/>
    </w:rPr>
  </w:style>
  <w:style w:type="paragraph" w:customStyle="1" w:styleId="af8">
    <w:name w:val="ОснТекст:"/>
    <w:basedOn w:val="a"/>
    <w:next w:val="a"/>
    <w:pPr>
      <w:widowControl/>
      <w:spacing w:after="120"/>
      <w:ind w:firstLine="709"/>
      <w:jc w:val="both"/>
    </w:pPr>
    <w:rPr>
      <w:sz w:val="20"/>
      <w:szCs w:val="20"/>
    </w:rPr>
  </w:style>
  <w:style w:type="paragraph" w:customStyle="1" w:styleId="af9">
    <w:name w:val="Знак"/>
    <w:basedOn w:val="a"/>
    <w:pPr>
      <w:widowControl/>
      <w:spacing w:after="160" w:line="240" w:lineRule="exact"/>
    </w:pPr>
    <w:rPr>
      <w:rFonts w:eastAsia="SimSun"/>
      <w:b/>
      <w:sz w:val="28"/>
      <w:lang w:val="en-US" w:eastAsia="en-US"/>
    </w:rPr>
  </w:style>
  <w:style w:type="paragraph" w:styleId="24">
    <w:name w:val="Body Text 2"/>
    <w:basedOn w:val="a"/>
    <w:link w:val="25"/>
    <w:uiPriority w:val="99"/>
    <w:semiHidden/>
    <w:unhideWhenUsed/>
    <w:pPr>
      <w:spacing w:after="120" w:line="480" w:lineRule="auto"/>
    </w:pPr>
  </w:style>
  <w:style w:type="character" w:customStyle="1" w:styleId="25">
    <w:name w:val="Основной текст 2 Знак"/>
    <w:basedOn w:val="a0"/>
    <w:link w:val="24"/>
    <w:uiPriority w:val="99"/>
    <w:semiHidden/>
    <w:rPr>
      <w:rFonts w:ascii="Times New Roman" w:hAnsi="Times New Roman" w:cs="Times New Roman"/>
      <w:sz w:val="24"/>
      <w:szCs w:val="24"/>
    </w:rPr>
  </w:style>
  <w:style w:type="paragraph" w:customStyle="1" w:styleId="Default">
    <w:name w:val="Default"/>
    <w:pPr>
      <w:spacing w:after="0" w:line="240" w:lineRule="auto"/>
    </w:pPr>
    <w:rPr>
      <w:rFonts w:ascii="Times New Roman" w:hAnsi="Times New Roman"/>
      <w:color w:val="000000"/>
      <w:sz w:val="24"/>
      <w:szCs w:val="24"/>
    </w:r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hAnsi="Times New Roman" w:cs="Times New Roman"/>
      <w:sz w:val="24"/>
      <w:szCs w:val="24"/>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hAnsi="Times New Roman" w:cs="Times New Roman"/>
      <w:sz w:val="24"/>
      <w:szCs w:val="24"/>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customStyle="1" w:styleId="26">
    <w:name w:val="Основной текст (2)"/>
    <w:basedOn w:val="a"/>
    <w:link w:val="27"/>
    <w:pPr>
      <w:widowControl/>
      <w:shd w:val="clear" w:color="auto" w:fill="FFFFFF"/>
      <w:spacing w:before="300" w:line="358" w:lineRule="exact"/>
      <w:jc w:val="center"/>
    </w:pPr>
    <w:rPr>
      <w:rFonts w:eastAsia="Times New Roman"/>
      <w:i/>
      <w:iCs/>
      <w:color w:val="000000"/>
      <w:spacing w:val="-20"/>
      <w:sz w:val="37"/>
      <w:szCs w:val="37"/>
    </w:rPr>
  </w:style>
  <w:style w:type="character" w:customStyle="1" w:styleId="27">
    <w:name w:val="Основной текст (2)_"/>
    <w:basedOn w:val="a0"/>
    <w:link w:val="26"/>
    <w:rPr>
      <w:rFonts w:ascii="Times New Roman" w:eastAsia="Times New Roman" w:hAnsi="Times New Roman"/>
      <w:i/>
      <w:iCs/>
      <w:color w:val="000000"/>
      <w:spacing w:val="-20"/>
      <w:sz w:val="37"/>
      <w:szCs w:val="37"/>
      <w:shd w:val="clear" w:color="auto" w:fill="FFFFFF"/>
    </w:rPr>
  </w:style>
  <w:style w:type="character" w:customStyle="1" w:styleId="aff0">
    <w:name w:val="Основной текст_"/>
    <w:basedOn w:val="a0"/>
    <w:link w:val="12"/>
    <w:rPr>
      <w:rFonts w:ascii="Times New Roman" w:eastAsia="Times New Roman" w:hAnsi="Times New Roman"/>
      <w:sz w:val="23"/>
      <w:szCs w:val="23"/>
      <w:shd w:val="clear" w:color="auto" w:fill="FFFFFF"/>
    </w:rPr>
  </w:style>
  <w:style w:type="paragraph" w:customStyle="1" w:styleId="12">
    <w:name w:val="Основной текст1"/>
    <w:basedOn w:val="a"/>
    <w:link w:val="aff0"/>
    <w:pPr>
      <w:widowControl/>
      <w:shd w:val="clear" w:color="auto" w:fill="FFFFFF"/>
      <w:spacing w:line="317" w:lineRule="exact"/>
    </w:pPr>
    <w:rPr>
      <w:rFonts w:eastAsia="Times New Roman"/>
      <w:sz w:val="23"/>
      <w:szCs w:val="23"/>
    </w:rPr>
  </w:style>
  <w:style w:type="character" w:customStyle="1" w:styleId="UnresolvedMention">
    <w:name w:val="Unresolved Mention"/>
    <w:basedOn w:val="a0"/>
    <w:uiPriority w:val="99"/>
    <w:semiHidden/>
    <w:unhideWhenUsed/>
    <w:rPr>
      <w:color w:val="605E5C"/>
      <w:shd w:val="clear" w:color="auto" w:fill="E1DFDD"/>
    </w:rPr>
  </w:style>
  <w:style w:type="character" w:styleId="aff1">
    <w:name w:val="annotation reference"/>
    <w:basedOn w:val="a0"/>
    <w:uiPriority w:val="99"/>
    <w:semiHidden/>
    <w:unhideWhenUsed/>
    <w:rsid w:val="008C3D77"/>
    <w:rPr>
      <w:sz w:val="16"/>
      <w:szCs w:val="16"/>
    </w:rPr>
  </w:style>
  <w:style w:type="paragraph" w:styleId="aff2">
    <w:name w:val="annotation text"/>
    <w:basedOn w:val="a"/>
    <w:link w:val="aff3"/>
    <w:uiPriority w:val="99"/>
    <w:semiHidden/>
    <w:unhideWhenUsed/>
    <w:rsid w:val="008C3D77"/>
    <w:rPr>
      <w:sz w:val="20"/>
      <w:szCs w:val="20"/>
    </w:rPr>
  </w:style>
  <w:style w:type="character" w:customStyle="1" w:styleId="aff3">
    <w:name w:val="Текст примечания Знак"/>
    <w:basedOn w:val="a0"/>
    <w:link w:val="aff2"/>
    <w:uiPriority w:val="99"/>
    <w:semiHidden/>
    <w:rsid w:val="008C3D77"/>
    <w:rPr>
      <w:rFonts w:ascii="Times New Roman" w:hAnsi="Times New Roman"/>
      <w:sz w:val="20"/>
      <w:szCs w:val="20"/>
    </w:rPr>
  </w:style>
  <w:style w:type="paragraph" w:styleId="aff4">
    <w:name w:val="annotation subject"/>
    <w:basedOn w:val="aff2"/>
    <w:next w:val="aff2"/>
    <w:link w:val="aff5"/>
    <w:uiPriority w:val="99"/>
    <w:semiHidden/>
    <w:unhideWhenUsed/>
    <w:rsid w:val="008C3D77"/>
    <w:rPr>
      <w:b/>
      <w:bCs/>
    </w:rPr>
  </w:style>
  <w:style w:type="character" w:customStyle="1" w:styleId="aff5">
    <w:name w:val="Тема примечания Знак"/>
    <w:basedOn w:val="aff3"/>
    <w:link w:val="aff4"/>
    <w:uiPriority w:val="99"/>
    <w:semiHidden/>
    <w:rsid w:val="008C3D7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stats.un.org/unsd/nationalaccount/docs/SNA2008Russia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kz" TargetMode="External"/><Relationship Id="rId5" Type="http://schemas.microsoft.com/office/2007/relationships/stylesWithEffects" Target="stylesWithEffects.xml"/><Relationship Id="rId15" Type="http://schemas.openxmlformats.org/officeDocument/2006/relationships/image" Target="media/image20.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F15D-4026-4779-ABFD-5B1406D55878}"/>
</file>

<file path=customXml/itemProps2.xml><?xml version="1.0" encoding="utf-8"?>
<ds:datastoreItem xmlns:ds="http://schemas.openxmlformats.org/officeDocument/2006/customXml" ds:itemID="{62A016FE-BC4E-4E07-8CD0-FEBA179C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3258</Words>
  <Characters>18576</Characters>
  <Application>Microsoft Office Word</Application>
  <DocSecurity>0</DocSecurity>
  <Lines>154</Lines>
  <Paragraphs>43</Paragraphs>
  <ScaleCrop>false</ScaleCrop>
  <Company>Hewlett-Packard Company</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s.kishkeninova</dc:creator>
  <cp:lastModifiedBy>Аружан Кайсар</cp:lastModifiedBy>
  <cp:revision>68</cp:revision>
  <dcterms:created xsi:type="dcterms:W3CDTF">2024-02-15T12:22:00Z</dcterms:created>
  <dcterms:modified xsi:type="dcterms:W3CDTF">2025-09-30T12:22:00Z</dcterms:modified>
</cp:coreProperties>
</file>